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F7F581" w14:textId="77777777" w:rsidR="00FD60BB" w:rsidRPr="00F13DD3" w:rsidRDefault="009A4F71">
      <w:pPr>
        <w:jc w:val="center"/>
        <w:rPr>
          <w:b/>
          <w:sz w:val="20"/>
          <w:szCs w:val="20"/>
          <w:lang w:val="en-GB"/>
        </w:rPr>
      </w:pPr>
      <w:bookmarkStart w:id="0" w:name="_GoBack"/>
      <w:bookmarkEnd w:id="0"/>
      <w:r w:rsidRPr="00F13DD3">
        <w:rPr>
          <w:b/>
          <w:sz w:val="20"/>
          <w:szCs w:val="20"/>
          <w:lang w:val="en-GB"/>
        </w:rPr>
        <w:t>SCENARIO FOR EDUCATIONAL CLASSES</w:t>
      </w:r>
    </w:p>
    <w:p w14:paraId="683355D5" w14:textId="7C422D30" w:rsidR="00CB3DA8" w:rsidRPr="00F13DD3" w:rsidRDefault="00CB3DA8">
      <w:pPr>
        <w:jc w:val="center"/>
        <w:rPr>
          <w:b/>
          <w:sz w:val="20"/>
          <w:szCs w:val="20"/>
          <w:lang w:val="en-GB"/>
        </w:rPr>
      </w:pPr>
      <w:r w:rsidRPr="00F13DD3">
        <w:rPr>
          <w:b/>
          <w:sz w:val="20"/>
          <w:szCs w:val="20"/>
          <w:lang w:val="en-GB"/>
        </w:rPr>
        <w:t>Gender Equality and the protection of women in Public Intern</w:t>
      </w:r>
      <w:r w:rsidR="00F13DD3">
        <w:rPr>
          <w:b/>
          <w:sz w:val="20"/>
          <w:szCs w:val="20"/>
          <w:lang w:val="en-GB"/>
        </w:rPr>
        <w:t>a</w:t>
      </w:r>
      <w:r w:rsidRPr="00F13DD3">
        <w:rPr>
          <w:b/>
          <w:sz w:val="20"/>
          <w:szCs w:val="20"/>
          <w:lang w:val="en-GB"/>
        </w:rPr>
        <w:t>tiona</w:t>
      </w:r>
      <w:r w:rsidR="00F13DD3">
        <w:rPr>
          <w:b/>
          <w:sz w:val="20"/>
          <w:szCs w:val="20"/>
          <w:lang w:val="en-GB"/>
        </w:rPr>
        <w:t>l</w:t>
      </w:r>
      <w:r w:rsidRPr="00F13DD3">
        <w:rPr>
          <w:b/>
          <w:sz w:val="20"/>
          <w:szCs w:val="20"/>
          <w:lang w:val="en-GB"/>
        </w:rPr>
        <w:t xml:space="preserve"> Law</w:t>
      </w:r>
    </w:p>
    <w:p w14:paraId="78922BF4" w14:textId="77777777" w:rsidR="00FD60BB" w:rsidRPr="00F13DD3" w:rsidRDefault="009A4F71">
      <w:pPr>
        <w:rPr>
          <w:b/>
          <w:sz w:val="20"/>
          <w:szCs w:val="20"/>
          <w:lang w:val="en-GB"/>
        </w:rPr>
      </w:pPr>
      <w:r w:rsidRPr="00F13DD3">
        <w:rPr>
          <w:b/>
          <w:sz w:val="20"/>
          <w:szCs w:val="20"/>
          <w:lang w:val="en-GB"/>
        </w:rPr>
        <w:t>PART 1. OF SCENARIO</w:t>
      </w:r>
    </w:p>
    <w:tbl>
      <w:tblPr>
        <w:tblStyle w:val="3"/>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7"/>
        <w:gridCol w:w="7225"/>
      </w:tblGrid>
      <w:tr w:rsidR="00FD60BB" w:rsidRPr="003B0FE1" w14:paraId="02C11FFB" w14:textId="77777777">
        <w:tc>
          <w:tcPr>
            <w:tcW w:w="1837" w:type="dxa"/>
            <w:shd w:val="clear" w:color="auto" w:fill="D9D9D9"/>
          </w:tcPr>
          <w:p w14:paraId="1AAD2488" w14:textId="641D1B0A" w:rsidR="00FD60BB" w:rsidRPr="003B0FE1" w:rsidRDefault="009A4F71" w:rsidP="003B0FE1">
            <w:r w:rsidRPr="003B0FE1">
              <w:t>THEME OF CLASSES</w:t>
            </w:r>
          </w:p>
        </w:tc>
        <w:tc>
          <w:tcPr>
            <w:tcW w:w="7225" w:type="dxa"/>
          </w:tcPr>
          <w:p w14:paraId="2EB5906F" w14:textId="77777777" w:rsidR="002D1ADD" w:rsidRPr="003B0FE1" w:rsidRDefault="002D1ADD" w:rsidP="00BC2CFA">
            <w:pPr>
              <w:rPr>
                <w:i/>
                <w:iCs/>
              </w:rPr>
            </w:pPr>
            <w:r w:rsidRPr="003B0FE1">
              <w:rPr>
                <w:i/>
                <w:iCs/>
              </w:rPr>
              <w:t>Völkerrechtliche Verpflichtungen in Bezug auf die Gleichstellung der </w:t>
            </w:r>
          </w:p>
          <w:p w14:paraId="7AED1180" w14:textId="77777777" w:rsidR="002D1ADD" w:rsidRPr="003B0FE1" w:rsidRDefault="002D1ADD" w:rsidP="00BC2CFA">
            <w:pPr>
              <w:rPr>
                <w:i/>
                <w:iCs/>
              </w:rPr>
            </w:pPr>
            <w:r w:rsidRPr="003B0FE1">
              <w:rPr>
                <w:i/>
                <w:iCs/>
              </w:rPr>
              <w:t>Geschlechter und Umsetzung völkerrechtlicher Verpflichtungen in nationales </w:t>
            </w:r>
          </w:p>
          <w:p w14:paraId="6BA29CAA" w14:textId="77777777" w:rsidR="00BC2CFA" w:rsidRDefault="002D1ADD" w:rsidP="00BC2CFA">
            <w:pPr>
              <w:rPr>
                <w:i/>
                <w:iCs/>
              </w:rPr>
            </w:pPr>
            <w:r w:rsidRPr="003B0FE1">
              <w:rPr>
                <w:i/>
                <w:iCs/>
              </w:rPr>
              <w:t>Recht</w:t>
            </w:r>
          </w:p>
          <w:p w14:paraId="71E681F8" w14:textId="206A9204" w:rsidR="002D1ADD" w:rsidRPr="003B0FE1" w:rsidRDefault="002D1ADD" w:rsidP="00BC2CFA">
            <w:pPr>
              <w:rPr>
                <w:i/>
                <w:iCs/>
              </w:rPr>
            </w:pPr>
            <w:r w:rsidRPr="003B0FE1">
              <w:rPr>
                <w:i/>
                <w:iCs/>
              </w:rPr>
              <w:t>Die Rolle der VN und von VN-Foren und</w:t>
            </w:r>
            <w:r w:rsidR="00BC2CFA">
              <w:rPr>
                <w:i/>
                <w:iCs/>
              </w:rPr>
              <w:t xml:space="preserve"> </w:t>
            </w:r>
            <w:r w:rsidRPr="003B0FE1">
              <w:rPr>
                <w:i/>
                <w:iCs/>
              </w:rPr>
              <w:t>Gremien beim Schutz von Frauenrechten mit Schwerpunkt auf der </w:t>
            </w:r>
          </w:p>
          <w:p w14:paraId="5AB8FA69" w14:textId="77777777" w:rsidR="000329FF" w:rsidRPr="003B0FE1" w:rsidRDefault="002D1ADD" w:rsidP="00BC2CFA">
            <w:pPr>
              <w:rPr>
                <w:i/>
                <w:iCs/>
              </w:rPr>
            </w:pPr>
            <w:r w:rsidRPr="003B0FE1">
              <w:rPr>
                <w:i/>
                <w:iCs/>
              </w:rPr>
              <w:t>Gleichstellung der Geschlechter, dem Schutz von Frauen vor Gewalt und </w:t>
            </w:r>
          </w:p>
          <w:p w14:paraId="7F5F36AA" w14:textId="056B6870" w:rsidR="00F13DD3" w:rsidRPr="003B0FE1" w:rsidRDefault="002D1ADD" w:rsidP="00BC2CFA">
            <w:pPr>
              <w:rPr>
                <w:i/>
                <w:iCs/>
              </w:rPr>
            </w:pPr>
            <w:r w:rsidRPr="003B0FE1">
              <w:rPr>
                <w:i/>
                <w:iCs/>
              </w:rPr>
              <w:t>sexueller Belästigung</w:t>
            </w:r>
          </w:p>
        </w:tc>
      </w:tr>
      <w:tr w:rsidR="00FD60BB" w:rsidRPr="003B0FE1" w14:paraId="055C6DE9" w14:textId="77777777">
        <w:tc>
          <w:tcPr>
            <w:tcW w:w="1837" w:type="dxa"/>
            <w:shd w:val="clear" w:color="auto" w:fill="D9D9D9"/>
          </w:tcPr>
          <w:p w14:paraId="45F49C5A" w14:textId="77777777" w:rsidR="00FD60BB" w:rsidRPr="003B0FE1" w:rsidRDefault="009A4F71" w:rsidP="003B0FE1">
            <w:r w:rsidRPr="003B0FE1">
              <w:t>TOPIC</w:t>
            </w:r>
          </w:p>
        </w:tc>
        <w:tc>
          <w:tcPr>
            <w:tcW w:w="7225" w:type="dxa"/>
          </w:tcPr>
          <w:p w14:paraId="14C91574" w14:textId="77777777" w:rsidR="000329FF" w:rsidRPr="003B0FE1" w:rsidRDefault="002D1ADD" w:rsidP="003B0FE1">
            <w:pPr>
              <w:rPr>
                <w:i/>
                <w:iCs/>
              </w:rPr>
            </w:pPr>
            <w:r w:rsidRPr="003B0FE1">
              <w:rPr>
                <w:i/>
                <w:iCs/>
              </w:rPr>
              <w:t>Die Vorlesung befasst sich mit dem Gleichstellungsrecht, seiner praktischen </w:t>
            </w:r>
          </w:p>
          <w:p w14:paraId="0855C9F5" w14:textId="77777777" w:rsidR="000329FF" w:rsidRPr="003B0FE1" w:rsidRDefault="002D1ADD" w:rsidP="003B0FE1">
            <w:pPr>
              <w:rPr>
                <w:i/>
                <w:iCs/>
              </w:rPr>
            </w:pPr>
            <w:r w:rsidRPr="003B0FE1">
              <w:rPr>
                <w:i/>
                <w:iCs/>
              </w:rPr>
              <w:t>Umsetzung, mit </w:t>
            </w:r>
            <w:r w:rsidR="000329FF" w:rsidRPr="003B0FE1">
              <w:rPr>
                <w:i/>
                <w:iCs/>
              </w:rPr>
              <w:t>Rechtsmitteln</w:t>
            </w:r>
            <w:r w:rsidRPr="003B0FE1">
              <w:rPr>
                <w:i/>
                <w:iCs/>
              </w:rPr>
              <w:t> und Folgen der Nichterfüllung völkerrechtlicher Verpflichtungen.</w:t>
            </w:r>
            <w:r w:rsidRPr="003B0FE1">
              <w:rPr>
                <w:i/>
                <w:iCs/>
              </w:rPr>
              <w:br/>
              <w:t>Der Kurs bezieht sich insbesondere auf den Inhalt der rechtlichen </w:t>
            </w:r>
          </w:p>
          <w:p w14:paraId="0841E2B9" w14:textId="7D0D9D38" w:rsidR="000329FF" w:rsidRPr="003B0FE1" w:rsidRDefault="002D1ADD" w:rsidP="003B0FE1">
            <w:pPr>
              <w:rPr>
                <w:i/>
                <w:iCs/>
              </w:rPr>
            </w:pPr>
            <w:r w:rsidRPr="003B0FE1">
              <w:rPr>
                <w:i/>
                <w:iCs/>
              </w:rPr>
              <w:t>Verpflichtungen, einschließlich des CEDAW</w:t>
            </w:r>
            <w:r w:rsidR="00BC2CFA">
              <w:rPr>
                <w:i/>
                <w:iCs/>
              </w:rPr>
              <w:t xml:space="preserve"> </w:t>
            </w:r>
            <w:r w:rsidRPr="003B0FE1">
              <w:rPr>
                <w:i/>
                <w:iCs/>
              </w:rPr>
              <w:t>Übereinkommens (Übereinkommen zur Beseitigung jeder Form von </w:t>
            </w:r>
          </w:p>
          <w:p w14:paraId="35A3C28F" w14:textId="77777777" w:rsidR="000329FF" w:rsidRPr="003B0FE1" w:rsidRDefault="002D1ADD" w:rsidP="003B0FE1">
            <w:pPr>
              <w:rPr>
                <w:i/>
                <w:iCs/>
              </w:rPr>
            </w:pPr>
            <w:r w:rsidRPr="003B0FE1">
              <w:rPr>
                <w:i/>
                <w:iCs/>
              </w:rPr>
              <w:t>Diskriminierung der Frau) und des Übereinkommens von Istanbul </w:t>
            </w:r>
          </w:p>
          <w:p w14:paraId="4D5E066B" w14:textId="77777777" w:rsidR="000329FF" w:rsidRPr="003B0FE1" w:rsidRDefault="002D1ADD" w:rsidP="003B0FE1">
            <w:pPr>
              <w:rPr>
                <w:i/>
                <w:iCs/>
              </w:rPr>
            </w:pPr>
            <w:r w:rsidRPr="003B0FE1">
              <w:rPr>
                <w:i/>
                <w:iCs/>
              </w:rPr>
              <w:t>(Übereinkommen zur Verhütung und Bekämpfung von Gewalt gegen Frauen </w:t>
            </w:r>
          </w:p>
          <w:p w14:paraId="62D757C0" w14:textId="77777777" w:rsidR="000329FF" w:rsidRPr="003B0FE1" w:rsidRDefault="002D1ADD" w:rsidP="003B0FE1">
            <w:pPr>
              <w:rPr>
                <w:i/>
                <w:iCs/>
              </w:rPr>
            </w:pPr>
            <w:r w:rsidRPr="003B0FE1">
              <w:rPr>
                <w:i/>
                <w:iCs/>
              </w:rPr>
              <w:t>und häuslicher Gewalt). Er erwähnt auch kurz andere regionale Instrumente </w:t>
            </w:r>
          </w:p>
          <w:p w14:paraId="5BF3F9E7" w14:textId="54939303" w:rsidR="001B4ED0" w:rsidRPr="003B0FE1" w:rsidRDefault="002D1ADD" w:rsidP="003B0FE1">
            <w:pPr>
              <w:rPr>
                <w:i/>
                <w:iCs/>
                <w:lang w:val="de-AT"/>
              </w:rPr>
            </w:pPr>
            <w:r w:rsidRPr="003B0FE1">
              <w:rPr>
                <w:i/>
                <w:iCs/>
              </w:rPr>
              <w:t>wie das Maput</w:t>
            </w:r>
            <w:r w:rsidR="00BC2CFA">
              <w:rPr>
                <w:i/>
                <w:iCs/>
              </w:rPr>
              <w:t>o-</w:t>
            </w:r>
            <w:r w:rsidRPr="003B0FE1">
              <w:rPr>
                <w:i/>
                <w:iCs/>
              </w:rPr>
              <w:t>Protokoll in Afrika und das Übereinkommen von Belem do Para.</w:t>
            </w:r>
          </w:p>
          <w:p w14:paraId="7341E5A5" w14:textId="77777777" w:rsidR="00BC2CFA" w:rsidRDefault="00BC2CFA" w:rsidP="003B0FE1">
            <w:pPr>
              <w:rPr>
                <w:i/>
                <w:iCs/>
                <w:lang w:val="de-DE" w:eastAsia="de-AT"/>
              </w:rPr>
            </w:pPr>
          </w:p>
          <w:p w14:paraId="0E4B1D8F" w14:textId="7ADA6DC0" w:rsidR="00BC2CFA" w:rsidRDefault="000329FF" w:rsidP="00BC2CFA">
            <w:pPr>
              <w:rPr>
                <w:i/>
                <w:iCs/>
                <w:lang w:val="de-DE" w:eastAsia="de-AT"/>
              </w:rPr>
            </w:pPr>
            <w:r w:rsidRPr="000329FF">
              <w:rPr>
                <w:i/>
                <w:iCs/>
                <w:lang w:val="de-DE" w:eastAsia="de-AT"/>
              </w:rPr>
              <w:t xml:space="preserve">Der </w:t>
            </w:r>
            <w:r w:rsidRPr="003B0FE1">
              <w:rPr>
                <w:i/>
                <w:iCs/>
              </w:rPr>
              <w:t xml:space="preserve">Kurs </w:t>
            </w:r>
            <w:r w:rsidRPr="000329FF">
              <w:rPr>
                <w:i/>
                <w:iCs/>
                <w:lang w:val="de-DE" w:eastAsia="de-AT"/>
              </w:rPr>
              <w:t>befasst sich auch mit den Nichtdiskriminierungsbestimmungen der EMRK und ihrem Protokoll Nr. 12 sowie der Rechtsprechung des Europäischen Gerichtshofs für Menschenrechte.</w:t>
            </w:r>
          </w:p>
          <w:p w14:paraId="28B147CD" w14:textId="77777777" w:rsidR="00BC2CFA" w:rsidRDefault="00BC2CFA" w:rsidP="00BC2CFA">
            <w:pPr>
              <w:rPr>
                <w:i/>
                <w:iCs/>
                <w:lang w:val="de-DE" w:eastAsia="de-AT"/>
              </w:rPr>
            </w:pPr>
          </w:p>
          <w:p w14:paraId="6A4FB1CA" w14:textId="3D4AE1CA" w:rsidR="000329FF" w:rsidRPr="000329FF" w:rsidRDefault="000329FF" w:rsidP="003B0FE1">
            <w:pPr>
              <w:rPr>
                <w:i/>
                <w:iCs/>
                <w:lang w:val="de-AT" w:eastAsia="de-AT"/>
              </w:rPr>
            </w:pPr>
            <w:r w:rsidRPr="000329FF">
              <w:rPr>
                <w:i/>
                <w:iCs/>
                <w:lang w:val="de-DE" w:eastAsia="de-AT"/>
              </w:rPr>
              <w:t>Ein konkretes Thema, das die Forschungsergebnisse aus dem GEPARD-Projekt einbezieht</w:t>
            </w:r>
            <w:r w:rsidR="00BC2CFA">
              <w:rPr>
                <w:i/>
                <w:iCs/>
                <w:lang w:val="de-DE" w:eastAsia="de-AT"/>
              </w:rPr>
              <w:t>, behandelt folgende Fragestellung</w:t>
            </w:r>
            <w:r w:rsidRPr="000329FF">
              <w:rPr>
                <w:i/>
                <w:iCs/>
                <w:lang w:val="de-DE" w:eastAsia="de-AT"/>
              </w:rPr>
              <w:t>: Welche Möglichkeiten gibt es, Geschlechtergleichstellung in der Wissenschaft zu erreichen?</w:t>
            </w:r>
          </w:p>
          <w:p w14:paraId="69A1F5B7" w14:textId="77777777" w:rsidR="00FD60BB" w:rsidRPr="003B0FE1" w:rsidRDefault="00FD60BB" w:rsidP="003B0FE1">
            <w:pPr>
              <w:rPr>
                <w:i/>
                <w:iCs/>
                <w:lang w:val="de-AT"/>
              </w:rPr>
            </w:pPr>
          </w:p>
        </w:tc>
      </w:tr>
      <w:tr w:rsidR="00FD60BB" w:rsidRPr="003B0FE1" w14:paraId="4BCE08A0" w14:textId="77777777">
        <w:tc>
          <w:tcPr>
            <w:tcW w:w="1837" w:type="dxa"/>
            <w:shd w:val="clear" w:color="auto" w:fill="D9D9D9"/>
          </w:tcPr>
          <w:p w14:paraId="45F143DC" w14:textId="77777777" w:rsidR="00FD60BB" w:rsidRPr="003B0FE1" w:rsidRDefault="009A4F71" w:rsidP="003B0FE1">
            <w:r w:rsidRPr="003B0FE1">
              <w:t>DURATION OF CLASSES</w:t>
            </w:r>
          </w:p>
        </w:tc>
        <w:tc>
          <w:tcPr>
            <w:tcW w:w="7225" w:type="dxa"/>
          </w:tcPr>
          <w:p w14:paraId="53C51BF3" w14:textId="77777777" w:rsidR="00FD60BB" w:rsidRPr="00BC2CFA" w:rsidRDefault="009A4F71" w:rsidP="003B0FE1">
            <w:pPr>
              <w:rPr>
                <w:i/>
                <w:iCs/>
              </w:rPr>
            </w:pPr>
            <w:r w:rsidRPr="00BC2CFA">
              <w:rPr>
                <w:i/>
                <w:iCs/>
              </w:rPr>
              <w:t>1,5 h</w:t>
            </w:r>
          </w:p>
        </w:tc>
      </w:tr>
      <w:tr w:rsidR="00FD60BB" w:rsidRPr="003B0FE1" w14:paraId="2C212ECD" w14:textId="77777777">
        <w:tc>
          <w:tcPr>
            <w:tcW w:w="1837" w:type="dxa"/>
            <w:shd w:val="clear" w:color="auto" w:fill="D9D9D9"/>
          </w:tcPr>
          <w:p w14:paraId="3A2DC9AD" w14:textId="77777777" w:rsidR="00FD60BB" w:rsidRPr="003B0FE1" w:rsidRDefault="009A4F71" w:rsidP="003B0FE1">
            <w:r w:rsidRPr="003B0FE1">
              <w:t>MODE</w:t>
            </w:r>
          </w:p>
        </w:tc>
        <w:tc>
          <w:tcPr>
            <w:tcW w:w="7225" w:type="dxa"/>
          </w:tcPr>
          <w:p w14:paraId="27C8624D" w14:textId="77777777" w:rsidR="00FD60BB" w:rsidRDefault="009A4F71" w:rsidP="003B0FE1">
            <w:pPr>
              <w:rPr>
                <w:i/>
                <w:iCs/>
              </w:rPr>
            </w:pPr>
            <w:r w:rsidRPr="00BC2CFA">
              <w:rPr>
                <w:i/>
                <w:iCs/>
                <w:highlight w:val="white"/>
              </w:rPr>
              <w:t xml:space="preserve">Physical (face-to-face in class sessions), Online or Hybrid </w:t>
            </w:r>
          </w:p>
          <w:p w14:paraId="099ECCBD" w14:textId="7CC4DFBD" w:rsidR="00BC2CFA" w:rsidRPr="00BC2CFA" w:rsidRDefault="00BC2CFA" w:rsidP="003B0FE1">
            <w:pPr>
              <w:rPr>
                <w:i/>
                <w:iCs/>
              </w:rPr>
            </w:pPr>
          </w:p>
        </w:tc>
      </w:tr>
      <w:tr w:rsidR="00FD60BB" w:rsidRPr="003B0FE1" w14:paraId="09B8308E" w14:textId="77777777">
        <w:tc>
          <w:tcPr>
            <w:tcW w:w="1837" w:type="dxa"/>
            <w:shd w:val="clear" w:color="auto" w:fill="D9D9D9"/>
          </w:tcPr>
          <w:p w14:paraId="100D3489" w14:textId="77777777" w:rsidR="00FD60BB" w:rsidRPr="003B0FE1" w:rsidRDefault="009A4F71" w:rsidP="003B0FE1">
            <w:r w:rsidRPr="003B0FE1">
              <w:t>KEYWORDS</w:t>
            </w:r>
          </w:p>
        </w:tc>
        <w:tc>
          <w:tcPr>
            <w:tcW w:w="7225" w:type="dxa"/>
          </w:tcPr>
          <w:p w14:paraId="18E378B7" w14:textId="175A4185" w:rsidR="000329FF" w:rsidRPr="00BC2CFA" w:rsidRDefault="000329FF" w:rsidP="00BC2CFA">
            <w:pPr>
              <w:rPr>
                <w:i/>
                <w:iCs/>
              </w:rPr>
            </w:pPr>
            <w:r w:rsidRPr="00BC2CFA">
              <w:rPr>
                <w:i/>
                <w:iCs/>
              </w:rPr>
              <w:t>Geschlechtergleichheit, Gewalt gegen Frauen, sexuelle Belästigung, Rechtsmittel und Maßnahmen gegen Diskriminierung sowie Formen von Gewalt und Belästigung</w:t>
            </w:r>
          </w:p>
          <w:p w14:paraId="65A518E0" w14:textId="713E79E2" w:rsidR="00FD60BB" w:rsidRPr="00BC2CFA" w:rsidRDefault="00FD60BB" w:rsidP="00BC2CFA">
            <w:pPr>
              <w:rPr>
                <w:i/>
                <w:iCs/>
                <w:lang w:val="de-AT"/>
              </w:rPr>
            </w:pPr>
          </w:p>
        </w:tc>
      </w:tr>
    </w:tbl>
    <w:p w14:paraId="7A2B6FA1" w14:textId="77777777" w:rsidR="00FD60BB" w:rsidRPr="003B0FE1" w:rsidRDefault="00FD60BB" w:rsidP="003B0FE1">
      <w:pPr>
        <w:rPr>
          <w:lang w:val="de-AT"/>
        </w:rPr>
      </w:pPr>
    </w:p>
    <w:p w14:paraId="6F666E98" w14:textId="77777777" w:rsidR="00FD60BB" w:rsidRPr="003B0FE1" w:rsidRDefault="009A4F71" w:rsidP="003B0FE1">
      <w:r w:rsidRPr="003B0FE1">
        <w:t>PART 2. OF SCENARIO</w:t>
      </w:r>
    </w:p>
    <w:tbl>
      <w:tblPr>
        <w:tblStyle w:val="2"/>
        <w:tblW w:w="914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7"/>
        <w:gridCol w:w="7144"/>
      </w:tblGrid>
      <w:tr w:rsidR="00FD60BB" w:rsidRPr="003B0FE1" w14:paraId="1E422D8C" w14:textId="77777777">
        <w:trPr>
          <w:trHeight w:val="915"/>
        </w:trPr>
        <w:tc>
          <w:tcPr>
            <w:tcW w:w="1997" w:type="dxa"/>
            <w:shd w:val="clear" w:color="auto" w:fill="D9D9D9"/>
            <w:vAlign w:val="center"/>
          </w:tcPr>
          <w:p w14:paraId="47ADA7D7" w14:textId="77777777" w:rsidR="00FD60BB" w:rsidRPr="003B0FE1" w:rsidRDefault="009A4F71" w:rsidP="003B0FE1">
            <w:r w:rsidRPr="003B0FE1">
              <w:t>THE AIM OF THE CLASSES</w:t>
            </w:r>
          </w:p>
        </w:tc>
        <w:tc>
          <w:tcPr>
            <w:tcW w:w="7144" w:type="dxa"/>
            <w:shd w:val="clear" w:color="auto" w:fill="D9D9D9"/>
            <w:vAlign w:val="center"/>
          </w:tcPr>
          <w:p w14:paraId="5264CFA7" w14:textId="30AFE5D7" w:rsidR="000329FF" w:rsidRPr="00BC2CFA" w:rsidRDefault="000329FF" w:rsidP="00BC2CFA">
            <w:pPr>
              <w:rPr>
                <w:i/>
                <w:iCs/>
                <w:color w:val="000000" w:themeColor="text1"/>
              </w:rPr>
            </w:pPr>
            <w:r w:rsidRPr="00BC2CFA">
              <w:rPr>
                <w:i/>
                <w:iCs/>
                <w:color w:val="000000" w:themeColor="text1"/>
              </w:rPr>
              <w:t xml:space="preserve">Ziel des Kurses ist es, den Studierenden ein fundiertes Wissen und Verständnis der rechtlichen Verpflichtungen zu vermitteln, die im Völkerrecht und im nationalen Recht des jeweiligen Staates bestehen (die Staaten können im Hinblick auf die Interessen der Teilnehmer ausgewählt werden), die die Gleichstellung der Geschlechter im Allgemeinen und am Arbeitsplatz regeln. </w:t>
            </w:r>
            <w:r w:rsidRPr="00BC2CFA">
              <w:rPr>
                <w:i/>
                <w:iCs/>
                <w:color w:val="000000" w:themeColor="text1"/>
              </w:rPr>
              <w:lastRenderedPageBreak/>
              <w:t>Ein besonderer Schwerpunkt liegt auf der Gleichstellung der Geschlechter in der Wissenschaft. Im Mittelpunkt des Vortrags steht auch die Absicht, geschlechtsspezifische Gewalt und sexuelle Belästigung zu beseitigen</w:t>
            </w:r>
            <w:r w:rsidR="003B0FE1" w:rsidRPr="00BC2CFA">
              <w:rPr>
                <w:i/>
                <w:iCs/>
                <w:color w:val="000000" w:themeColor="text1"/>
              </w:rPr>
              <w:t xml:space="preserve"> und die entsprechenden Rechtsmittel und Möglichkeiten der Prävention vorzustellen.</w:t>
            </w:r>
            <w:r w:rsidRPr="00BC2CFA">
              <w:rPr>
                <w:i/>
                <w:iCs/>
                <w:color w:val="000000" w:themeColor="text1"/>
              </w:rPr>
              <w:t xml:space="preserve"> Die universellen und regionalen rechtlichen Verpflichtungen werden diskutiert und analysiert.</w:t>
            </w:r>
          </w:p>
          <w:p w14:paraId="794CEAE4" w14:textId="77777777" w:rsidR="00BC2CFA" w:rsidRDefault="00BC2CFA" w:rsidP="00BC2CFA">
            <w:pPr>
              <w:rPr>
                <w:i/>
                <w:iCs/>
                <w:color w:val="000000" w:themeColor="text1"/>
              </w:rPr>
            </w:pPr>
          </w:p>
          <w:p w14:paraId="16B9E281" w14:textId="75FDB21C" w:rsidR="003B0FE1" w:rsidRPr="00BC2CFA" w:rsidRDefault="00BC2CFA" w:rsidP="00BC2CFA">
            <w:pPr>
              <w:rPr>
                <w:i/>
                <w:iCs/>
                <w:color w:val="000000" w:themeColor="text1"/>
              </w:rPr>
            </w:pPr>
            <w:r>
              <w:rPr>
                <w:i/>
                <w:iCs/>
                <w:color w:val="000000" w:themeColor="text1"/>
              </w:rPr>
              <w:t xml:space="preserve">Ein weiteres </w:t>
            </w:r>
            <w:r w:rsidR="003B0FE1" w:rsidRPr="00BC2CFA">
              <w:rPr>
                <w:i/>
                <w:iCs/>
                <w:color w:val="000000" w:themeColor="text1"/>
              </w:rPr>
              <w:t>Ziel ist, alle bestehenden rechtlichen Verpflichtungen im Völkerrecht und deren Umsetzung zu analysieren und sich auf Optionen zur Stärkung der Geschlechtergleichstellung am Arbeitsplatz und insbesondere in akademischen Szenarien zu konzentrieren.</w:t>
            </w:r>
          </w:p>
          <w:p w14:paraId="39BC3C0E" w14:textId="341C506D" w:rsidR="001B4ED0" w:rsidRPr="00BC2CFA" w:rsidRDefault="003B0FE1" w:rsidP="00BC2CFA">
            <w:pPr>
              <w:jc w:val="both"/>
              <w:rPr>
                <w:i/>
                <w:iCs/>
                <w:color w:val="000000" w:themeColor="text1"/>
              </w:rPr>
            </w:pPr>
            <w:r w:rsidRPr="00BC2CFA">
              <w:rPr>
                <w:i/>
                <w:iCs/>
                <w:color w:val="000000" w:themeColor="text1"/>
              </w:rPr>
              <w:t xml:space="preserve">Studierende </w:t>
            </w:r>
            <w:r w:rsidR="00BC2CFA">
              <w:rPr>
                <w:i/>
                <w:iCs/>
                <w:color w:val="000000" w:themeColor="text1"/>
              </w:rPr>
              <w:t xml:space="preserve">werden </w:t>
            </w:r>
            <w:r w:rsidRPr="00BC2CFA">
              <w:rPr>
                <w:i/>
                <w:iCs/>
                <w:color w:val="000000" w:themeColor="text1"/>
              </w:rPr>
              <w:t>auf bestehende Förderprogramme aufmerksam</w:t>
            </w:r>
            <w:r w:rsidR="00BC2CFA">
              <w:rPr>
                <w:i/>
                <w:iCs/>
                <w:color w:val="000000" w:themeColor="text1"/>
              </w:rPr>
              <w:t xml:space="preserve"> gemacht</w:t>
            </w:r>
            <w:r w:rsidRPr="00BC2CFA">
              <w:rPr>
                <w:i/>
                <w:iCs/>
                <w:color w:val="000000" w:themeColor="text1"/>
              </w:rPr>
              <w:t>, um den Anteil von Akademikerinnen in höheren Positionen zu erhöhen und die notwendigen akademischen Qualifikationen zu erwerben.</w:t>
            </w:r>
          </w:p>
          <w:p w14:paraId="60FE7E5A" w14:textId="7079A079" w:rsidR="00FD60BB" w:rsidRPr="003B0FE1" w:rsidRDefault="009A4F71" w:rsidP="003B0FE1">
            <w:r w:rsidRPr="003B0FE1">
              <w:t xml:space="preserve"> </w:t>
            </w:r>
          </w:p>
        </w:tc>
      </w:tr>
      <w:tr w:rsidR="00FD60BB" w:rsidRPr="003B0FE1" w14:paraId="7C07B24E" w14:textId="77777777">
        <w:trPr>
          <w:trHeight w:val="985"/>
        </w:trPr>
        <w:tc>
          <w:tcPr>
            <w:tcW w:w="1997" w:type="dxa"/>
            <w:shd w:val="clear" w:color="auto" w:fill="D9D9D9"/>
            <w:vAlign w:val="center"/>
          </w:tcPr>
          <w:p w14:paraId="6BDA0815" w14:textId="77777777" w:rsidR="00FD60BB" w:rsidRPr="003B0FE1" w:rsidRDefault="009A4F71" w:rsidP="003B0FE1">
            <w:r w:rsidRPr="003B0FE1">
              <w:lastRenderedPageBreak/>
              <w:t>LEARNING OUTCOMES</w:t>
            </w:r>
          </w:p>
        </w:tc>
        <w:tc>
          <w:tcPr>
            <w:tcW w:w="7144" w:type="dxa"/>
            <w:shd w:val="clear" w:color="auto" w:fill="D9D9D9"/>
            <w:vAlign w:val="center"/>
          </w:tcPr>
          <w:p w14:paraId="7158F04D" w14:textId="485EBB7E" w:rsidR="00FD60BB" w:rsidRPr="00BC2CFA" w:rsidRDefault="002D1ADD" w:rsidP="003B0FE1">
            <w:pPr>
              <w:rPr>
                <w:i/>
                <w:iCs/>
                <w:highlight w:val="yellow"/>
                <w:lang w:val="de-AT"/>
              </w:rPr>
            </w:pPr>
            <w:r w:rsidRPr="00BC2CFA">
              <w:rPr>
                <w:i/>
                <w:iCs/>
              </w:rPr>
              <w:t>Zum Abschluss sind die Studierenden mit den bestehenden rechtlichen Rahmenbedingungen vertraut. Die Studierenden verfügen über profunde Kenntnisse des Gleichstellungsrechts und seiner praktischen Anwendung.</w:t>
            </w:r>
            <w:r w:rsidRPr="00BC2CFA">
              <w:rPr>
                <w:i/>
                <w:iCs/>
              </w:rPr>
              <w:br/>
            </w:r>
            <w:r w:rsidRPr="00BC2CFA">
              <w:rPr>
                <w:i/>
                <w:iCs/>
              </w:rPr>
              <w:br/>
              <w:t>Die Studierenden können Rechtsberatung in den genannten Themenbereichen der</w:t>
            </w:r>
            <w:r w:rsidR="00BC2CFA">
              <w:rPr>
                <w:i/>
                <w:iCs/>
              </w:rPr>
              <w:t xml:space="preserve"> </w:t>
            </w:r>
            <w:r w:rsidRPr="00BC2CFA">
              <w:rPr>
                <w:i/>
                <w:iCs/>
              </w:rPr>
              <w:t>Fragen der Gleichstellung von Frauen und Männern erteilen.</w:t>
            </w:r>
            <w:r w:rsidRPr="00BC2CFA">
              <w:rPr>
                <w:i/>
                <w:iCs/>
              </w:rPr>
              <w:br/>
            </w:r>
          </w:p>
        </w:tc>
      </w:tr>
      <w:tr w:rsidR="00FD60BB" w:rsidRPr="003B0FE1" w14:paraId="5D20D4D7" w14:textId="77777777">
        <w:trPr>
          <w:trHeight w:val="700"/>
        </w:trPr>
        <w:tc>
          <w:tcPr>
            <w:tcW w:w="1997" w:type="dxa"/>
            <w:shd w:val="clear" w:color="auto" w:fill="D9D9D9"/>
            <w:vAlign w:val="center"/>
          </w:tcPr>
          <w:p w14:paraId="4E504FBF" w14:textId="77777777" w:rsidR="00FD60BB" w:rsidRPr="003B0FE1" w:rsidRDefault="009A4F71" w:rsidP="003B0FE1">
            <w:r w:rsidRPr="003B0FE1">
              <w:t xml:space="preserve">SUGGESTED TOOLS </w:t>
            </w:r>
          </w:p>
        </w:tc>
        <w:tc>
          <w:tcPr>
            <w:tcW w:w="7144" w:type="dxa"/>
            <w:vAlign w:val="center"/>
          </w:tcPr>
          <w:p w14:paraId="7A104480" w14:textId="213396DA" w:rsidR="00FD60BB" w:rsidRPr="00BC2CFA" w:rsidRDefault="002D1ADD" w:rsidP="003B0FE1">
            <w:pPr>
              <w:rPr>
                <w:i/>
                <w:iCs/>
                <w:lang w:val="de-AT"/>
              </w:rPr>
            </w:pPr>
            <w:r w:rsidRPr="00BC2CFA">
              <w:rPr>
                <w:i/>
                <w:iCs/>
              </w:rPr>
              <w:t>Die Studierenden lesen und analysieren Rechtstexte; sie studieren Rechtsprechung und analysieren die praktischeAnwendung und Umsetzung von Rechtsvorschriften. Es werden Fälle mit Schwerpunkt auf der Rechtsprechung auf internationaler und nationaler Ebene erörtert. Außerdem werden theoretische Fälle und ihre Lösungen im Unterricht erörtert.</w:t>
            </w:r>
            <w:r w:rsidRPr="00BC2CFA">
              <w:rPr>
                <w:i/>
                <w:iCs/>
              </w:rPr>
              <w:br/>
            </w:r>
          </w:p>
        </w:tc>
      </w:tr>
      <w:tr w:rsidR="00FD60BB" w:rsidRPr="003B0FE1" w14:paraId="1DB12763" w14:textId="77777777">
        <w:trPr>
          <w:trHeight w:val="700"/>
        </w:trPr>
        <w:tc>
          <w:tcPr>
            <w:tcW w:w="1997" w:type="dxa"/>
            <w:shd w:val="clear" w:color="auto" w:fill="D9D9D9"/>
            <w:vAlign w:val="center"/>
          </w:tcPr>
          <w:p w14:paraId="4F921D23" w14:textId="77777777" w:rsidR="00FD60BB" w:rsidRPr="003B0FE1" w:rsidRDefault="009A4F71" w:rsidP="003B0FE1">
            <w:r w:rsidRPr="003B0FE1">
              <w:t>TIPS / METHODOLOGICAL REMARKS</w:t>
            </w:r>
          </w:p>
        </w:tc>
        <w:tc>
          <w:tcPr>
            <w:tcW w:w="7144" w:type="dxa"/>
            <w:vAlign w:val="center"/>
          </w:tcPr>
          <w:p w14:paraId="7AF49875" w14:textId="77777777" w:rsidR="003B0FE1" w:rsidRPr="00BC2CFA" w:rsidRDefault="002D1ADD" w:rsidP="003B0FE1">
            <w:pPr>
              <w:rPr>
                <w:i/>
                <w:iCs/>
              </w:rPr>
            </w:pPr>
            <w:r w:rsidRPr="00BC2CFA">
              <w:rPr>
                <w:i/>
                <w:iCs/>
              </w:rPr>
              <w:t>Analyse rechtlicher Verpflichtungen, praktische Umsetzung, Rechtsbehelfe, </w:t>
            </w:r>
          </w:p>
          <w:p w14:paraId="3374AA2C" w14:textId="27508982" w:rsidR="00FD60BB" w:rsidRPr="00BC2CFA" w:rsidRDefault="003B0FE1" w:rsidP="003B0FE1">
            <w:pPr>
              <w:rPr>
                <w:i/>
                <w:iCs/>
                <w:lang w:val="de-AT"/>
              </w:rPr>
            </w:pPr>
            <w:r w:rsidRPr="00BC2CFA">
              <w:rPr>
                <w:i/>
                <w:iCs/>
              </w:rPr>
              <w:t>Fördermaßnahmen</w:t>
            </w:r>
            <w:r w:rsidR="002D1ADD" w:rsidRPr="00BC2CFA">
              <w:rPr>
                <w:i/>
                <w:iCs/>
              </w:rPr>
              <w:br/>
            </w:r>
          </w:p>
        </w:tc>
      </w:tr>
      <w:tr w:rsidR="00FD60BB" w:rsidRPr="003B0FE1" w14:paraId="528D1510" w14:textId="77777777">
        <w:trPr>
          <w:trHeight w:val="700"/>
        </w:trPr>
        <w:tc>
          <w:tcPr>
            <w:tcW w:w="1997" w:type="dxa"/>
            <w:shd w:val="clear" w:color="auto" w:fill="D9D9D9"/>
            <w:vAlign w:val="center"/>
          </w:tcPr>
          <w:p w14:paraId="3040CCCB" w14:textId="77777777" w:rsidR="00FD60BB" w:rsidRPr="003B0FE1" w:rsidRDefault="009A4F71" w:rsidP="003B0FE1">
            <w:r w:rsidRPr="003B0FE1">
              <w:t>RISKS</w:t>
            </w:r>
          </w:p>
        </w:tc>
        <w:tc>
          <w:tcPr>
            <w:tcW w:w="7144" w:type="dxa"/>
            <w:vAlign w:val="center"/>
          </w:tcPr>
          <w:p w14:paraId="40FD5AB1" w14:textId="57B805AF" w:rsidR="00FD60BB" w:rsidRPr="00BC2CFA" w:rsidRDefault="003B0FE1" w:rsidP="003B0FE1">
            <w:pPr>
              <w:rPr>
                <w:i/>
                <w:iCs/>
              </w:rPr>
            </w:pPr>
            <w:r w:rsidRPr="00BC2CFA">
              <w:rPr>
                <w:i/>
                <w:iCs/>
              </w:rPr>
              <w:t>Keine Risiken</w:t>
            </w:r>
          </w:p>
        </w:tc>
      </w:tr>
    </w:tbl>
    <w:p w14:paraId="096DDBB6" w14:textId="77777777" w:rsidR="00FD60BB" w:rsidRPr="00F13DD3" w:rsidRDefault="00FD60BB">
      <w:pPr>
        <w:rPr>
          <w:lang w:val="en-GB"/>
        </w:rPr>
      </w:pPr>
    </w:p>
    <w:p w14:paraId="569280E0" w14:textId="77777777" w:rsidR="00FD60BB" w:rsidRPr="00F13DD3" w:rsidRDefault="009A4F71">
      <w:pPr>
        <w:rPr>
          <w:b/>
          <w:sz w:val="20"/>
          <w:szCs w:val="20"/>
          <w:lang w:val="en-GB"/>
        </w:rPr>
      </w:pPr>
      <w:r w:rsidRPr="00F13DD3">
        <w:rPr>
          <w:b/>
          <w:sz w:val="20"/>
          <w:szCs w:val="20"/>
          <w:lang w:val="en-GB"/>
        </w:rPr>
        <w:t>PART 3. OF SCENARIO</w:t>
      </w:r>
    </w:p>
    <w:tbl>
      <w:tblPr>
        <w:tblStyle w:val="1"/>
        <w:tblW w:w="914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53"/>
        <w:gridCol w:w="1969"/>
        <w:gridCol w:w="5319"/>
      </w:tblGrid>
      <w:tr w:rsidR="00FD60BB" w:rsidRPr="00F13DD3" w14:paraId="635461AF" w14:textId="77777777">
        <w:trPr>
          <w:trHeight w:val="700"/>
        </w:trPr>
        <w:tc>
          <w:tcPr>
            <w:tcW w:w="1853" w:type="dxa"/>
            <w:shd w:val="clear" w:color="auto" w:fill="D9D9D9"/>
            <w:vAlign w:val="center"/>
          </w:tcPr>
          <w:p w14:paraId="4D66EE36" w14:textId="77777777" w:rsidR="00FD60BB" w:rsidRPr="00F13DD3" w:rsidRDefault="009A4F71">
            <w:pPr>
              <w:rPr>
                <w:b/>
                <w:sz w:val="20"/>
                <w:szCs w:val="20"/>
                <w:lang w:val="en-GB"/>
              </w:rPr>
            </w:pPr>
            <w:r w:rsidRPr="00F13DD3">
              <w:rPr>
                <w:b/>
                <w:sz w:val="20"/>
                <w:szCs w:val="20"/>
                <w:lang w:val="en-GB"/>
              </w:rPr>
              <w:t>LEARNING CONTENT - CHARACTERISTICS</w:t>
            </w:r>
          </w:p>
        </w:tc>
        <w:tc>
          <w:tcPr>
            <w:tcW w:w="7288" w:type="dxa"/>
            <w:gridSpan w:val="2"/>
            <w:vAlign w:val="center"/>
          </w:tcPr>
          <w:p w14:paraId="00CD697C" w14:textId="1CFC7CB7" w:rsidR="00FD60BB" w:rsidRPr="00F13DD3" w:rsidRDefault="00A23A87" w:rsidP="00A23A87">
            <w:pPr>
              <w:pBdr>
                <w:top w:val="nil"/>
                <w:left w:val="nil"/>
                <w:bottom w:val="nil"/>
                <w:right w:val="nil"/>
                <w:between w:val="nil"/>
              </w:pBdr>
              <w:rPr>
                <w:i/>
                <w:iCs/>
                <w:color w:val="000000"/>
                <w:lang w:val="en-GB"/>
              </w:rPr>
            </w:pPr>
            <w:r w:rsidRPr="00F13DD3">
              <w:rPr>
                <w:i/>
                <w:iCs/>
                <w:color w:val="000000"/>
                <w:lang w:val="en-GB"/>
              </w:rPr>
              <w:t>The learning content comprises slides with an introduction into the legal obligations and their content relating to gender equality and violence against women, prevention of violence, remedies and reparations. Legal texts, abstracts from cases and materials as an additional reader complement the teaching materials.</w:t>
            </w:r>
            <w:r w:rsidR="001B4ED0">
              <w:rPr>
                <w:i/>
                <w:iCs/>
                <w:color w:val="000000"/>
                <w:lang w:val="en-GB"/>
              </w:rPr>
              <w:t xml:space="preserve"> A video about UN activities to protect women might be used.</w:t>
            </w:r>
          </w:p>
        </w:tc>
      </w:tr>
      <w:tr w:rsidR="00FD60BB" w:rsidRPr="00F13DD3" w14:paraId="42745B65" w14:textId="77777777">
        <w:trPr>
          <w:trHeight w:val="700"/>
        </w:trPr>
        <w:tc>
          <w:tcPr>
            <w:tcW w:w="1853" w:type="dxa"/>
            <w:shd w:val="clear" w:color="auto" w:fill="D9D9D9"/>
            <w:vAlign w:val="center"/>
          </w:tcPr>
          <w:p w14:paraId="373453C9" w14:textId="77777777" w:rsidR="00FD60BB" w:rsidRPr="00F13DD3" w:rsidRDefault="009A4F71">
            <w:pPr>
              <w:rPr>
                <w:b/>
                <w:sz w:val="20"/>
                <w:szCs w:val="20"/>
                <w:lang w:val="en-GB"/>
              </w:rPr>
            </w:pPr>
            <w:r w:rsidRPr="00F13DD3">
              <w:rPr>
                <w:b/>
                <w:sz w:val="20"/>
                <w:szCs w:val="20"/>
                <w:lang w:val="en-GB"/>
              </w:rPr>
              <w:t>BASICTERMS</w:t>
            </w:r>
          </w:p>
        </w:tc>
        <w:tc>
          <w:tcPr>
            <w:tcW w:w="7288" w:type="dxa"/>
            <w:gridSpan w:val="2"/>
            <w:vAlign w:val="center"/>
          </w:tcPr>
          <w:p w14:paraId="22F61A8B" w14:textId="77777777" w:rsidR="00BC2CFA" w:rsidRPr="00BC2CFA" w:rsidRDefault="00BC2CFA" w:rsidP="00BC2CFA">
            <w:pPr>
              <w:pStyle w:val="HTMLPreformatted"/>
              <w:shd w:val="clear" w:color="auto" w:fill="F8F9FA"/>
              <w:rPr>
                <w:rFonts w:asciiTheme="minorHAnsi" w:hAnsiTheme="minorHAnsi" w:cstheme="minorHAnsi"/>
                <w:i/>
                <w:iCs/>
                <w:color w:val="202124"/>
                <w:sz w:val="22"/>
                <w:szCs w:val="22"/>
              </w:rPr>
            </w:pPr>
            <w:r w:rsidRPr="00BC2CFA">
              <w:rPr>
                <w:rStyle w:val="y2iqfc"/>
                <w:rFonts w:asciiTheme="minorHAnsi" w:hAnsiTheme="minorHAnsi" w:cstheme="minorHAnsi"/>
                <w:i/>
                <w:iCs/>
                <w:color w:val="202124"/>
                <w:sz w:val="22"/>
                <w:szCs w:val="22"/>
                <w:lang w:val="de-DE"/>
              </w:rPr>
              <w:t>Geschlechtergleichheit, Nichtdiskriminierung, Menschenrechtsbestimmungen zum Schutz von Frauen</w:t>
            </w:r>
          </w:p>
          <w:p w14:paraId="6D7F29D2" w14:textId="21F618E3" w:rsidR="00FD60BB" w:rsidRPr="00BC2CFA" w:rsidRDefault="00FD60BB">
            <w:pPr>
              <w:rPr>
                <w:lang w:val="de-AT"/>
              </w:rPr>
            </w:pPr>
          </w:p>
        </w:tc>
      </w:tr>
      <w:tr w:rsidR="00FD60BB" w:rsidRPr="00F13DD3" w14:paraId="01BDC823" w14:textId="77777777">
        <w:trPr>
          <w:trHeight w:val="171"/>
        </w:trPr>
        <w:tc>
          <w:tcPr>
            <w:tcW w:w="1853" w:type="dxa"/>
            <w:vMerge w:val="restart"/>
            <w:shd w:val="clear" w:color="auto" w:fill="D9D9D9"/>
            <w:vAlign w:val="center"/>
          </w:tcPr>
          <w:p w14:paraId="04E30025" w14:textId="77777777" w:rsidR="00FD60BB" w:rsidRPr="00F13DD3" w:rsidRDefault="009A4F71">
            <w:pPr>
              <w:rPr>
                <w:b/>
                <w:lang w:val="en-GB"/>
              </w:rPr>
            </w:pPr>
            <w:r w:rsidRPr="00F13DD3">
              <w:rPr>
                <w:b/>
                <w:lang w:val="en-GB"/>
              </w:rPr>
              <w:t>COURSE OF THE CLASS</w:t>
            </w:r>
          </w:p>
          <w:p w14:paraId="138945BD" w14:textId="77777777" w:rsidR="00FD60BB" w:rsidRPr="00F13DD3" w:rsidRDefault="00FD60BB">
            <w:pPr>
              <w:rPr>
                <w:b/>
                <w:lang w:val="en-GB"/>
              </w:rPr>
            </w:pPr>
          </w:p>
        </w:tc>
        <w:tc>
          <w:tcPr>
            <w:tcW w:w="1969" w:type="dxa"/>
            <w:shd w:val="clear" w:color="auto" w:fill="D9D9D9"/>
            <w:vAlign w:val="center"/>
          </w:tcPr>
          <w:p w14:paraId="14452347" w14:textId="77777777" w:rsidR="00FD60BB" w:rsidRPr="00F13DD3" w:rsidRDefault="00FD60BB">
            <w:pPr>
              <w:rPr>
                <w:b/>
                <w:sz w:val="20"/>
                <w:szCs w:val="20"/>
                <w:lang w:val="en-GB"/>
              </w:rPr>
            </w:pPr>
          </w:p>
          <w:p w14:paraId="3B671670" w14:textId="77777777" w:rsidR="00FD60BB" w:rsidRPr="00F13DD3" w:rsidRDefault="009A4F71">
            <w:pPr>
              <w:rPr>
                <w:b/>
                <w:sz w:val="20"/>
                <w:szCs w:val="20"/>
                <w:lang w:val="en-GB"/>
              </w:rPr>
            </w:pPr>
            <w:r w:rsidRPr="00F13DD3">
              <w:rPr>
                <w:b/>
                <w:sz w:val="20"/>
                <w:szCs w:val="20"/>
                <w:lang w:val="en-GB"/>
              </w:rPr>
              <w:t>STEP 1</w:t>
            </w:r>
          </w:p>
        </w:tc>
        <w:tc>
          <w:tcPr>
            <w:tcW w:w="5319" w:type="dxa"/>
            <w:vAlign w:val="center"/>
          </w:tcPr>
          <w:p w14:paraId="138B3DD6" w14:textId="77777777" w:rsidR="003B0FE1" w:rsidRPr="00BC2CFA" w:rsidRDefault="003B0FE1" w:rsidP="00BC2CFA">
            <w:pPr>
              <w:pStyle w:val="HTMLPreformatted"/>
              <w:shd w:val="clear" w:color="auto" w:fill="F8F9FA"/>
              <w:rPr>
                <w:rFonts w:asciiTheme="minorHAnsi" w:hAnsiTheme="minorHAnsi" w:cstheme="minorHAnsi"/>
                <w:i/>
                <w:iCs/>
                <w:color w:val="202124"/>
                <w:sz w:val="22"/>
                <w:szCs w:val="22"/>
              </w:rPr>
            </w:pPr>
            <w:r w:rsidRPr="00BC2CFA">
              <w:rPr>
                <w:rStyle w:val="y2iqfc"/>
                <w:rFonts w:asciiTheme="minorHAnsi" w:hAnsiTheme="minorHAnsi" w:cstheme="minorHAnsi"/>
                <w:i/>
                <w:iCs/>
                <w:color w:val="202124"/>
                <w:sz w:val="22"/>
                <w:szCs w:val="22"/>
                <w:lang w:val="de-DE"/>
              </w:rPr>
              <w:t>Rechtliche Verpflichtungen ausarbeiten, Bewusstsein und Wissen schärfen, Gesetzestexte interpretieren</w:t>
            </w:r>
          </w:p>
          <w:p w14:paraId="7CD490A3" w14:textId="7DB40A1C" w:rsidR="001B4ED0" w:rsidRPr="00BC2CFA" w:rsidRDefault="001B4ED0" w:rsidP="00BC2CFA">
            <w:pPr>
              <w:rPr>
                <w:rFonts w:asciiTheme="minorHAnsi" w:hAnsiTheme="minorHAnsi" w:cstheme="minorHAnsi"/>
                <w:i/>
                <w:iCs/>
                <w:lang w:val="de-AT"/>
              </w:rPr>
            </w:pPr>
          </w:p>
        </w:tc>
      </w:tr>
      <w:tr w:rsidR="00FD60BB" w:rsidRPr="00F13DD3" w14:paraId="77AAEFED" w14:textId="77777777">
        <w:trPr>
          <w:trHeight w:val="171"/>
        </w:trPr>
        <w:tc>
          <w:tcPr>
            <w:tcW w:w="1853" w:type="dxa"/>
            <w:vMerge/>
            <w:shd w:val="clear" w:color="auto" w:fill="D9D9D9"/>
            <w:vAlign w:val="center"/>
          </w:tcPr>
          <w:p w14:paraId="68B39132" w14:textId="77777777" w:rsidR="00FD60BB" w:rsidRPr="003B0FE1" w:rsidRDefault="00FD60BB">
            <w:pPr>
              <w:widowControl w:val="0"/>
              <w:pBdr>
                <w:top w:val="nil"/>
                <w:left w:val="nil"/>
                <w:bottom w:val="nil"/>
                <w:right w:val="nil"/>
                <w:between w:val="nil"/>
              </w:pBdr>
              <w:spacing w:line="276" w:lineRule="auto"/>
              <w:rPr>
                <w:lang w:val="de-AT"/>
              </w:rPr>
            </w:pPr>
          </w:p>
        </w:tc>
        <w:tc>
          <w:tcPr>
            <w:tcW w:w="1969" w:type="dxa"/>
            <w:shd w:val="clear" w:color="auto" w:fill="D9D9D9"/>
            <w:vAlign w:val="center"/>
          </w:tcPr>
          <w:p w14:paraId="4BD62AFE" w14:textId="77777777" w:rsidR="00FD60BB" w:rsidRPr="00F13DD3" w:rsidRDefault="009A4F71">
            <w:pPr>
              <w:rPr>
                <w:b/>
                <w:sz w:val="20"/>
                <w:szCs w:val="20"/>
                <w:lang w:val="en-GB"/>
              </w:rPr>
            </w:pPr>
            <w:r w:rsidRPr="00F13DD3">
              <w:rPr>
                <w:b/>
                <w:sz w:val="20"/>
                <w:szCs w:val="20"/>
                <w:lang w:val="en-GB"/>
              </w:rPr>
              <w:t>STEP 2</w:t>
            </w:r>
          </w:p>
        </w:tc>
        <w:tc>
          <w:tcPr>
            <w:tcW w:w="5319" w:type="dxa"/>
            <w:vAlign w:val="center"/>
          </w:tcPr>
          <w:p w14:paraId="0EA0206E" w14:textId="77777777" w:rsidR="001B4ED0" w:rsidRPr="004E1859" w:rsidRDefault="001B4ED0" w:rsidP="00BC2CFA">
            <w:pPr>
              <w:pBdr>
                <w:top w:val="nil"/>
                <w:left w:val="nil"/>
                <w:bottom w:val="nil"/>
                <w:right w:val="nil"/>
                <w:between w:val="nil"/>
              </w:pBdr>
              <w:rPr>
                <w:rFonts w:asciiTheme="minorHAnsi" w:hAnsiTheme="minorHAnsi" w:cstheme="minorHAnsi"/>
                <w:i/>
                <w:iCs/>
                <w:color w:val="000000"/>
                <w:lang w:val="de-AT"/>
              </w:rPr>
            </w:pPr>
          </w:p>
          <w:p w14:paraId="093A42BB" w14:textId="77777777" w:rsidR="003B0FE1" w:rsidRPr="00BC2CFA" w:rsidRDefault="003B0FE1" w:rsidP="00BC2CFA">
            <w:pPr>
              <w:pStyle w:val="HTMLPreformatted"/>
              <w:shd w:val="clear" w:color="auto" w:fill="F8F9FA"/>
              <w:rPr>
                <w:rFonts w:asciiTheme="minorHAnsi" w:hAnsiTheme="minorHAnsi" w:cstheme="minorHAnsi"/>
                <w:i/>
                <w:iCs/>
                <w:color w:val="202124"/>
                <w:sz w:val="22"/>
                <w:szCs w:val="22"/>
              </w:rPr>
            </w:pPr>
            <w:r w:rsidRPr="00BC2CFA">
              <w:rPr>
                <w:rStyle w:val="y2iqfc"/>
                <w:rFonts w:asciiTheme="minorHAnsi" w:hAnsiTheme="minorHAnsi" w:cstheme="minorHAnsi"/>
                <w:i/>
                <w:iCs/>
                <w:color w:val="202124"/>
                <w:sz w:val="22"/>
                <w:szCs w:val="22"/>
                <w:lang w:val="de-DE"/>
              </w:rPr>
              <w:t>Durchführen von Fallstudien, um ein fundiertes Bild über die Gleichstellung der Geschlechter auf der Ebene des Völkerrechts und des Rechts im jeweiligen Staat zu erarbeiten</w:t>
            </w:r>
          </w:p>
          <w:p w14:paraId="0C356687" w14:textId="77777777" w:rsidR="00FD60BB" w:rsidRPr="00BC2CFA" w:rsidRDefault="00FD60BB" w:rsidP="00BC2CFA">
            <w:pPr>
              <w:pBdr>
                <w:top w:val="nil"/>
                <w:left w:val="nil"/>
                <w:bottom w:val="nil"/>
                <w:right w:val="nil"/>
                <w:between w:val="nil"/>
              </w:pBdr>
              <w:rPr>
                <w:rFonts w:asciiTheme="minorHAnsi" w:hAnsiTheme="minorHAnsi" w:cstheme="minorHAnsi"/>
                <w:i/>
                <w:iCs/>
                <w:color w:val="000000"/>
                <w:lang w:val="de-AT"/>
              </w:rPr>
            </w:pPr>
          </w:p>
        </w:tc>
      </w:tr>
      <w:tr w:rsidR="00FD60BB" w:rsidRPr="00F13DD3" w14:paraId="11428A4D" w14:textId="77777777">
        <w:trPr>
          <w:trHeight w:val="732"/>
        </w:trPr>
        <w:tc>
          <w:tcPr>
            <w:tcW w:w="1853" w:type="dxa"/>
            <w:vMerge/>
            <w:shd w:val="clear" w:color="auto" w:fill="D9D9D9"/>
            <w:vAlign w:val="center"/>
          </w:tcPr>
          <w:p w14:paraId="73C361B6" w14:textId="77777777" w:rsidR="00FD60BB" w:rsidRPr="003B0FE1" w:rsidRDefault="00FD60BB">
            <w:pPr>
              <w:widowControl w:val="0"/>
              <w:pBdr>
                <w:top w:val="nil"/>
                <w:left w:val="nil"/>
                <w:bottom w:val="nil"/>
                <w:right w:val="nil"/>
                <w:between w:val="nil"/>
              </w:pBdr>
              <w:spacing w:line="276" w:lineRule="auto"/>
              <w:rPr>
                <w:color w:val="000000"/>
                <w:lang w:val="de-AT"/>
              </w:rPr>
            </w:pPr>
          </w:p>
        </w:tc>
        <w:tc>
          <w:tcPr>
            <w:tcW w:w="1969" w:type="dxa"/>
            <w:shd w:val="clear" w:color="auto" w:fill="D9D9D9"/>
            <w:vAlign w:val="center"/>
          </w:tcPr>
          <w:p w14:paraId="298884D2" w14:textId="77777777" w:rsidR="00FD60BB" w:rsidRPr="00F13DD3" w:rsidRDefault="009A4F71">
            <w:pPr>
              <w:rPr>
                <w:b/>
                <w:lang w:val="en-GB"/>
              </w:rPr>
            </w:pPr>
            <w:r w:rsidRPr="00F13DD3">
              <w:rPr>
                <w:b/>
                <w:lang w:val="en-GB"/>
              </w:rPr>
              <w:t>STEP 3</w:t>
            </w:r>
          </w:p>
        </w:tc>
        <w:tc>
          <w:tcPr>
            <w:tcW w:w="5319" w:type="dxa"/>
            <w:vAlign w:val="center"/>
          </w:tcPr>
          <w:p w14:paraId="6C90131A" w14:textId="77777777" w:rsidR="00BC2CFA" w:rsidRPr="00BC2CFA" w:rsidRDefault="00BC2CFA" w:rsidP="00BC2CFA">
            <w:pPr>
              <w:pStyle w:val="HTMLPreformatted"/>
              <w:shd w:val="clear" w:color="auto" w:fill="F8F9FA"/>
              <w:rPr>
                <w:rStyle w:val="y2iqfc"/>
                <w:rFonts w:asciiTheme="minorHAnsi" w:hAnsiTheme="minorHAnsi" w:cstheme="minorHAnsi"/>
                <w:i/>
                <w:iCs/>
                <w:color w:val="202124"/>
                <w:sz w:val="22"/>
                <w:szCs w:val="22"/>
                <w:lang w:val="de-DE"/>
              </w:rPr>
            </w:pPr>
            <w:r w:rsidRPr="00BC2CFA">
              <w:rPr>
                <w:rStyle w:val="y2iqfc"/>
                <w:rFonts w:asciiTheme="minorHAnsi" w:hAnsiTheme="minorHAnsi" w:cstheme="minorHAnsi"/>
                <w:i/>
                <w:iCs/>
                <w:color w:val="202124"/>
                <w:sz w:val="22"/>
                <w:szCs w:val="22"/>
                <w:lang w:val="de-DE"/>
              </w:rPr>
              <w:t>Erarbeitung von Möglichkeiten zur Verbesserung der Geschlechtergleichstellung, Bewertung der Möglichkeiten zur Gewaltprävention, zum Schutz von Opfern und zur Bestrafung von Tätern</w:t>
            </w:r>
          </w:p>
          <w:p w14:paraId="6E39D0C4" w14:textId="77777777" w:rsidR="00BC2CFA" w:rsidRPr="00BC2CFA" w:rsidRDefault="00BC2CFA" w:rsidP="00BC2CFA">
            <w:pPr>
              <w:pStyle w:val="HTMLPreformatted"/>
              <w:shd w:val="clear" w:color="auto" w:fill="F8F9FA"/>
              <w:rPr>
                <w:rStyle w:val="y2iqfc"/>
                <w:rFonts w:asciiTheme="minorHAnsi" w:hAnsiTheme="minorHAnsi" w:cstheme="minorHAnsi"/>
                <w:i/>
                <w:iCs/>
                <w:color w:val="202124"/>
                <w:sz w:val="22"/>
                <w:szCs w:val="22"/>
                <w:lang w:val="de-DE"/>
              </w:rPr>
            </w:pPr>
            <w:r w:rsidRPr="00BC2CFA">
              <w:rPr>
                <w:rStyle w:val="y2iqfc"/>
                <w:rFonts w:asciiTheme="minorHAnsi" w:hAnsiTheme="minorHAnsi" w:cstheme="minorHAnsi"/>
                <w:i/>
                <w:iCs/>
                <w:color w:val="202124"/>
                <w:sz w:val="22"/>
                <w:szCs w:val="22"/>
                <w:lang w:val="de-DE"/>
              </w:rPr>
              <w:t>Bewertung von Förderprogrammen, Work-Life-Balance und Geschlechtergerechtigkeit, ungleiche Arbeitsbelastung von Akademikerinnen</w:t>
            </w:r>
          </w:p>
          <w:p w14:paraId="3B0AE704" w14:textId="77777777" w:rsidR="00BC2CFA" w:rsidRPr="00BC2CFA" w:rsidRDefault="00BC2CFA" w:rsidP="00BC2CFA">
            <w:pPr>
              <w:pStyle w:val="HTMLPreformatted"/>
              <w:shd w:val="clear" w:color="auto" w:fill="F8F9FA"/>
              <w:rPr>
                <w:rFonts w:asciiTheme="minorHAnsi" w:hAnsiTheme="minorHAnsi" w:cstheme="minorHAnsi"/>
                <w:i/>
                <w:iCs/>
                <w:color w:val="202124"/>
                <w:sz w:val="22"/>
                <w:szCs w:val="22"/>
              </w:rPr>
            </w:pPr>
            <w:r w:rsidRPr="00BC2CFA">
              <w:rPr>
                <w:rStyle w:val="y2iqfc"/>
                <w:rFonts w:asciiTheme="minorHAnsi" w:hAnsiTheme="minorHAnsi" w:cstheme="minorHAnsi"/>
                <w:i/>
                <w:iCs/>
                <w:color w:val="202124"/>
                <w:sz w:val="22"/>
                <w:szCs w:val="22"/>
                <w:lang w:val="de-DE"/>
              </w:rPr>
              <w:t>Nutzung des vom GEPARD-Projekt erstellten Handbuchs zur Verbesserung der Geschlechtergleichstellung in der Praxis</w:t>
            </w:r>
          </w:p>
          <w:p w14:paraId="6CA857F0" w14:textId="016F17BF" w:rsidR="00FD60BB" w:rsidRPr="00BC2CFA" w:rsidRDefault="00FD60BB" w:rsidP="00BC2CFA">
            <w:pPr>
              <w:rPr>
                <w:rFonts w:asciiTheme="minorHAnsi" w:hAnsiTheme="minorHAnsi" w:cstheme="minorHAnsi"/>
                <w:i/>
                <w:iCs/>
                <w:lang w:val="de-AT"/>
              </w:rPr>
            </w:pPr>
          </w:p>
        </w:tc>
      </w:tr>
    </w:tbl>
    <w:p w14:paraId="40C0660B" w14:textId="77777777" w:rsidR="00FD60BB" w:rsidRPr="00BC2CFA" w:rsidRDefault="009A4F71">
      <w:pPr>
        <w:rPr>
          <w:lang w:val="de-AT"/>
        </w:rPr>
      </w:pPr>
      <w:r w:rsidRPr="00BC2CFA">
        <w:rPr>
          <w:lang w:val="de-AT"/>
        </w:rPr>
        <w:t xml:space="preserve"> </w:t>
      </w:r>
    </w:p>
    <w:p w14:paraId="30178512" w14:textId="77777777" w:rsidR="00FD60BB" w:rsidRPr="00F13DD3" w:rsidRDefault="009A4F71">
      <w:pPr>
        <w:rPr>
          <w:b/>
          <w:lang w:val="en-GB"/>
        </w:rPr>
      </w:pPr>
      <w:r w:rsidRPr="00F13DD3">
        <w:rPr>
          <w:b/>
          <w:lang w:val="en-GB"/>
        </w:rPr>
        <w:t>PART 4. OF SCENARIO: ADDITIONAL MATERIALS (WORKSHEET, CARDS, PICTURES, RECORDINGS</w:t>
      </w:r>
    </w:p>
    <w:p w14:paraId="64A8EC4F" w14:textId="3990AD5A" w:rsidR="001D448E" w:rsidRPr="00F13DD3" w:rsidRDefault="003B0FE1">
      <w:pPr>
        <w:rPr>
          <w:b/>
          <w:lang w:val="en-GB"/>
        </w:rPr>
      </w:pPr>
      <w:proofErr w:type="spellStart"/>
      <w:r>
        <w:rPr>
          <w:b/>
          <w:lang w:val="en-GB"/>
        </w:rPr>
        <w:t>Folien</w:t>
      </w:r>
      <w:proofErr w:type="spellEnd"/>
      <w:r>
        <w:rPr>
          <w:b/>
          <w:lang w:val="en-GB"/>
        </w:rPr>
        <w:t xml:space="preserve"> </w:t>
      </w:r>
      <w:r w:rsidR="001D448E" w:rsidRPr="00F13DD3">
        <w:rPr>
          <w:b/>
          <w:lang w:val="en-GB"/>
        </w:rPr>
        <w:t>Gender Equality in International Law</w:t>
      </w:r>
      <w:r w:rsidR="008C2466" w:rsidRPr="00F13DD3">
        <w:rPr>
          <w:b/>
          <w:lang w:val="en-GB"/>
        </w:rPr>
        <w:t xml:space="preserve"> </w:t>
      </w:r>
    </w:p>
    <w:p w14:paraId="6BC8EE04" w14:textId="48AA10B1" w:rsidR="008C2466" w:rsidRPr="003B0FE1" w:rsidRDefault="00747ED5" w:rsidP="00747ED5">
      <w:pPr>
        <w:rPr>
          <w:b/>
          <w:lang w:val="de-AT"/>
        </w:rPr>
      </w:pPr>
      <w:r w:rsidRPr="003B0FE1">
        <w:rPr>
          <w:b/>
          <w:lang w:val="de-AT"/>
        </w:rPr>
        <w:t>Texts of legal sources and extracts from case law</w:t>
      </w:r>
      <w:r w:rsidR="001B4ED0" w:rsidRPr="003B0FE1">
        <w:rPr>
          <w:b/>
          <w:lang w:val="de-AT"/>
        </w:rPr>
        <w:t>:</w:t>
      </w:r>
      <w:r w:rsidR="003B0FE1" w:rsidRPr="003B0FE1">
        <w:rPr>
          <w:b/>
          <w:lang w:val="de-AT"/>
        </w:rPr>
        <w:t xml:space="preserve"> Für d</w:t>
      </w:r>
      <w:r w:rsidR="003B0FE1">
        <w:rPr>
          <w:b/>
          <w:lang w:val="de-AT"/>
        </w:rPr>
        <w:t xml:space="preserve">en </w:t>
      </w:r>
      <w:r w:rsidR="003B0FE1" w:rsidRPr="003B0FE1">
        <w:rPr>
          <w:b/>
          <w:lang w:val="de-AT"/>
        </w:rPr>
        <w:t>deutschsprachigen Unterricht w</w:t>
      </w:r>
      <w:r w:rsidR="003B0FE1">
        <w:rPr>
          <w:b/>
          <w:lang w:val="de-AT"/>
        </w:rPr>
        <w:t>e</w:t>
      </w:r>
      <w:r w:rsidR="003B0FE1" w:rsidRPr="003B0FE1">
        <w:rPr>
          <w:b/>
          <w:lang w:val="de-AT"/>
        </w:rPr>
        <w:t>rden teilweise deutsch</w:t>
      </w:r>
      <w:r w:rsidR="003B0FE1">
        <w:rPr>
          <w:b/>
          <w:lang w:val="de-AT"/>
        </w:rPr>
        <w:t>e Texte verwendet.</w:t>
      </w:r>
    </w:p>
    <w:p w14:paraId="7B7CD767" w14:textId="77777777" w:rsidR="00BA1157" w:rsidRPr="00F13DD3" w:rsidRDefault="008C2466" w:rsidP="00747ED5">
      <w:pPr>
        <w:rPr>
          <w:lang w:val="en-GB"/>
        </w:rPr>
      </w:pPr>
      <w:r w:rsidRPr="00F13DD3">
        <w:rPr>
          <w:b/>
          <w:lang w:val="en-GB"/>
        </w:rPr>
        <w:t xml:space="preserve">Legal sources: </w:t>
      </w:r>
      <w:hyperlink r:id="rId7" w:history="1">
        <w:r w:rsidRPr="00F13DD3">
          <w:rPr>
            <w:rStyle w:val="Hyperlink"/>
            <w:lang w:val="en-GB"/>
          </w:rPr>
          <w:t>Ending violence against women: Global norms and standards | What we do | UN Women – Headquarters</w:t>
        </w:r>
      </w:hyperlink>
    </w:p>
    <w:p w14:paraId="281CBFE6" w14:textId="4CB9FA81" w:rsidR="00747ED5" w:rsidRDefault="00BA1157" w:rsidP="001B4ED0">
      <w:pPr>
        <w:jc w:val="both"/>
        <w:rPr>
          <w:b/>
          <w:lang w:val="en-GB"/>
        </w:rPr>
      </w:pPr>
      <w:r w:rsidRPr="00F13DD3">
        <w:rPr>
          <w:b/>
          <w:bCs/>
          <w:lang w:val="en-GB"/>
        </w:rPr>
        <w:t>UN activities:</w:t>
      </w:r>
      <w:r w:rsidRPr="00F13DD3">
        <w:rPr>
          <w:lang w:val="en-GB"/>
        </w:rPr>
        <w:t xml:space="preserve"> </w:t>
      </w:r>
      <w:hyperlink r:id="rId8" w:history="1">
        <w:r w:rsidRPr="00F13DD3">
          <w:rPr>
            <w:rStyle w:val="Hyperlink"/>
            <w:lang w:val="en-GB"/>
          </w:rPr>
          <w:t>Gender Equality | United Nations</w:t>
        </w:r>
      </w:hyperlink>
      <w:r w:rsidR="00747ED5" w:rsidRPr="00F13DD3">
        <w:rPr>
          <w:b/>
          <w:lang w:val="en-GB"/>
        </w:rPr>
        <w:t xml:space="preserve"> </w:t>
      </w:r>
    </w:p>
    <w:p w14:paraId="504933C8" w14:textId="77777777" w:rsidR="004E1859" w:rsidRPr="00F13DD3" w:rsidRDefault="004E1859" w:rsidP="004E1859">
      <w:pPr>
        <w:jc w:val="both"/>
        <w:rPr>
          <w:b/>
          <w:lang w:val="en-GB"/>
        </w:rPr>
      </w:pPr>
      <w:r w:rsidRPr="00F13DD3">
        <w:rPr>
          <w:b/>
          <w:lang w:val="en-GB"/>
        </w:rPr>
        <w:t xml:space="preserve">Video about CEDAW, focussing on the definition of discrimination </w:t>
      </w:r>
      <w:hyperlink r:id="rId9" w:history="1">
        <w:r w:rsidRPr="00F13DD3">
          <w:rPr>
            <w:rStyle w:val="Hyperlink"/>
            <w:lang w:val="en-GB"/>
          </w:rPr>
          <w:t>2 5 Lecture 5 Introduction to CEDAW 9 00 (youtube.com)</w:t>
        </w:r>
      </w:hyperlink>
    </w:p>
    <w:p w14:paraId="15CC0E31" w14:textId="77777777" w:rsidR="004E1859" w:rsidRPr="00F13DD3" w:rsidRDefault="004E1859" w:rsidP="001B4ED0">
      <w:pPr>
        <w:jc w:val="both"/>
        <w:rPr>
          <w:b/>
          <w:lang w:val="en-GB"/>
        </w:rPr>
      </w:pPr>
    </w:p>
    <w:p w14:paraId="3572C118" w14:textId="33D4006E" w:rsidR="001B4ED0" w:rsidRDefault="00090B61" w:rsidP="001B4ED0">
      <w:pPr>
        <w:jc w:val="both"/>
        <w:rPr>
          <w:b/>
          <w:lang w:val="en-GB"/>
        </w:rPr>
      </w:pPr>
      <w:r w:rsidRPr="00F13DD3">
        <w:rPr>
          <w:b/>
          <w:lang w:val="en-GB"/>
        </w:rPr>
        <w:t>Legal sources on the regional l</w:t>
      </w:r>
      <w:r w:rsidR="000716DE" w:rsidRPr="00F13DD3">
        <w:rPr>
          <w:b/>
          <w:lang w:val="en-GB"/>
        </w:rPr>
        <w:t xml:space="preserve">evel </w:t>
      </w:r>
      <w:hyperlink r:id="rId10" w:history="1">
        <w:r w:rsidR="000716DE" w:rsidRPr="00F13DD3">
          <w:rPr>
            <w:rStyle w:val="Hyperlink"/>
            <w:lang w:val="en-GB"/>
          </w:rPr>
          <w:t>RESPECT-implementation-guide-Global-and-regional-frameworks-en.pdf (unwomen.org)</w:t>
        </w:r>
      </w:hyperlink>
      <w:r w:rsidR="000716DE" w:rsidRPr="00F13DD3">
        <w:rPr>
          <w:lang w:val="en-GB"/>
        </w:rPr>
        <w:t>.</w:t>
      </w:r>
      <w:r w:rsidR="000716DE" w:rsidRPr="00F13DD3">
        <w:rPr>
          <w:b/>
          <w:lang w:val="en-GB"/>
        </w:rPr>
        <w:t xml:space="preserve"> </w:t>
      </w:r>
    </w:p>
    <w:p w14:paraId="27952657" w14:textId="1491CC71" w:rsidR="00BA1157" w:rsidRPr="00F13DD3" w:rsidRDefault="00BA1157" w:rsidP="001B4ED0">
      <w:pPr>
        <w:jc w:val="both"/>
        <w:rPr>
          <w:b/>
          <w:lang w:val="en-GB"/>
        </w:rPr>
      </w:pPr>
      <w:r w:rsidRPr="00F13DD3">
        <w:rPr>
          <w:b/>
          <w:lang w:val="en-GB"/>
        </w:rPr>
        <w:t>Gender Equality St</w:t>
      </w:r>
      <w:r w:rsidR="00F13DD3">
        <w:rPr>
          <w:b/>
          <w:lang w:val="en-GB"/>
        </w:rPr>
        <w:t>r</w:t>
      </w:r>
      <w:r w:rsidRPr="00F13DD3">
        <w:rPr>
          <w:b/>
          <w:lang w:val="en-GB"/>
        </w:rPr>
        <w:t xml:space="preserve">ategy of the Council of Europe: </w:t>
      </w:r>
      <w:hyperlink r:id="rId11" w:history="1">
        <w:r w:rsidRPr="00F13DD3">
          <w:rPr>
            <w:rStyle w:val="Hyperlink"/>
            <w:lang w:val="en-GB"/>
          </w:rPr>
          <w:t>16808b47e1 (coe.int)</w:t>
        </w:r>
      </w:hyperlink>
    </w:p>
    <w:p w14:paraId="7BCB67C7" w14:textId="586CA482" w:rsidR="000716DE" w:rsidRPr="00F13DD3" w:rsidRDefault="000716DE" w:rsidP="001B4ED0">
      <w:pPr>
        <w:jc w:val="both"/>
        <w:rPr>
          <w:b/>
          <w:lang w:val="en-GB"/>
        </w:rPr>
      </w:pPr>
      <w:r w:rsidRPr="00F13DD3">
        <w:rPr>
          <w:b/>
          <w:lang w:val="en-GB"/>
        </w:rPr>
        <w:t xml:space="preserve">Fact sheet ECHR and gender equality </w:t>
      </w:r>
      <w:hyperlink r:id="rId12" w:history="1">
        <w:proofErr w:type="spellStart"/>
        <w:r w:rsidRPr="00F13DD3">
          <w:rPr>
            <w:rStyle w:val="Hyperlink"/>
            <w:lang w:val="en-GB"/>
          </w:rPr>
          <w:t>FS_Gender_Equality_ENG</w:t>
        </w:r>
        <w:proofErr w:type="spellEnd"/>
        <w:r w:rsidRPr="00F13DD3">
          <w:rPr>
            <w:rStyle w:val="Hyperlink"/>
            <w:lang w:val="en-GB"/>
          </w:rPr>
          <w:t xml:space="preserve"> (coe.int)</w:t>
        </w:r>
      </w:hyperlink>
    </w:p>
    <w:p w14:paraId="79BA439C" w14:textId="77777777" w:rsidR="004E1859" w:rsidRDefault="004E1859" w:rsidP="002342EF">
      <w:pPr>
        <w:jc w:val="both"/>
        <w:rPr>
          <w:b/>
          <w:lang w:val="en-GB"/>
        </w:rPr>
      </w:pPr>
    </w:p>
    <w:p w14:paraId="0740E935" w14:textId="23547286" w:rsidR="002342EF" w:rsidRPr="00F13DD3" w:rsidRDefault="002342EF" w:rsidP="002342EF">
      <w:pPr>
        <w:jc w:val="both"/>
        <w:rPr>
          <w:b/>
          <w:lang w:val="en-GB"/>
        </w:rPr>
      </w:pPr>
      <w:r w:rsidRPr="00F13DD3">
        <w:rPr>
          <w:b/>
          <w:lang w:val="en-GB"/>
        </w:rPr>
        <w:t xml:space="preserve">In addition to this scenario workshops on legal remedies and prevention programmes against violence will be (could be) held. </w:t>
      </w:r>
    </w:p>
    <w:p w14:paraId="2F74EDD0" w14:textId="77777777" w:rsidR="004E1859" w:rsidRDefault="00747ED5" w:rsidP="004E1859">
      <w:pPr>
        <w:jc w:val="both"/>
        <w:rPr>
          <w:b/>
          <w:lang w:val="en-GB"/>
        </w:rPr>
      </w:pPr>
      <w:r w:rsidRPr="00F13DD3">
        <w:rPr>
          <w:b/>
          <w:lang w:val="en-GB"/>
        </w:rPr>
        <w:lastRenderedPageBreak/>
        <w:t>Evaluation of promotional programmes to gender equality program</w:t>
      </w:r>
      <w:r w:rsidR="001B4ED0">
        <w:rPr>
          <w:b/>
          <w:lang w:val="en-GB"/>
        </w:rPr>
        <w:t>me</w:t>
      </w:r>
      <w:r w:rsidRPr="00F13DD3">
        <w:rPr>
          <w:b/>
          <w:lang w:val="en-GB"/>
        </w:rPr>
        <w:t>s, access to such programmes.</w:t>
      </w:r>
    </w:p>
    <w:p w14:paraId="7396E15A" w14:textId="310532A7" w:rsidR="004E1859" w:rsidRPr="004E1859" w:rsidRDefault="004E1859" w:rsidP="004E1859">
      <w:pPr>
        <w:jc w:val="both"/>
        <w:rPr>
          <w:b/>
          <w:lang w:val="en-GB"/>
        </w:rPr>
      </w:pPr>
      <w:r w:rsidRPr="004E1859">
        <w:rPr>
          <w:b/>
          <w:bCs/>
          <w:sz w:val="24"/>
          <w:szCs w:val="24"/>
          <w:lang w:val="en-US"/>
        </w:rPr>
        <w:t>T</w:t>
      </w:r>
      <w:r w:rsidRPr="000F0C30">
        <w:rPr>
          <w:b/>
          <w:bCs/>
          <w:color w:val="000000" w:themeColor="text1"/>
          <w:sz w:val="24"/>
          <w:szCs w:val="24"/>
          <w:lang w:val="en-US"/>
        </w:rPr>
        <w:t xml:space="preserve">he </w:t>
      </w:r>
      <w:r>
        <w:rPr>
          <w:b/>
          <w:bCs/>
          <w:color w:val="000000" w:themeColor="text1"/>
          <w:lang w:val="en-US"/>
        </w:rPr>
        <w:t>r</w:t>
      </w:r>
      <w:r w:rsidRPr="000F0C30">
        <w:rPr>
          <w:b/>
          <w:bCs/>
          <w:color w:val="000000" w:themeColor="text1"/>
          <w:sz w:val="24"/>
          <w:szCs w:val="24"/>
          <w:lang w:val="en-US"/>
        </w:rPr>
        <w:t>epresentation of women in academia and higher education management positions</w:t>
      </w:r>
      <w:r>
        <w:rPr>
          <w:b/>
          <w:bCs/>
          <w:color w:val="000000" w:themeColor="text1"/>
          <w:lang w:val="en-US"/>
        </w:rPr>
        <w:t>, see the document attached.</w:t>
      </w:r>
    </w:p>
    <w:p w14:paraId="0574F991" w14:textId="77777777" w:rsidR="004E1859" w:rsidRPr="004E1859" w:rsidRDefault="004E1859" w:rsidP="001B4ED0">
      <w:pPr>
        <w:jc w:val="both"/>
        <w:rPr>
          <w:b/>
          <w:lang w:val="en-US"/>
        </w:rPr>
      </w:pPr>
    </w:p>
    <w:p w14:paraId="33618C44" w14:textId="77777777" w:rsidR="00747ED5" w:rsidRPr="00F13DD3" w:rsidRDefault="00747ED5">
      <w:pPr>
        <w:rPr>
          <w:b/>
          <w:lang w:val="en-GB"/>
        </w:rPr>
      </w:pPr>
    </w:p>
    <w:p w14:paraId="7C2D7C58" w14:textId="77777777" w:rsidR="001D448E" w:rsidRPr="00F13DD3" w:rsidRDefault="001D448E">
      <w:pPr>
        <w:rPr>
          <w:sz w:val="24"/>
          <w:szCs w:val="24"/>
          <w:lang w:val="en-GB"/>
        </w:rPr>
      </w:pPr>
    </w:p>
    <w:sectPr w:rsidR="001D448E" w:rsidRPr="00F13DD3">
      <w:headerReference w:type="even" r:id="rId13"/>
      <w:headerReference w:type="default" r:id="rId14"/>
      <w:footerReference w:type="even" r:id="rId15"/>
      <w:footerReference w:type="default" r:id="rId16"/>
      <w:headerReference w:type="first" r:id="rId17"/>
      <w:footerReference w:type="first" r:id="rId18"/>
      <w:pgSz w:w="11906" w:h="16838"/>
      <w:pgMar w:top="2051"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21B91C" w14:textId="77777777" w:rsidR="00E4563B" w:rsidRDefault="00E4563B">
      <w:pPr>
        <w:spacing w:after="0" w:line="240" w:lineRule="auto"/>
      </w:pPr>
      <w:r>
        <w:separator/>
      </w:r>
    </w:p>
  </w:endnote>
  <w:endnote w:type="continuationSeparator" w:id="0">
    <w:p w14:paraId="0779782E" w14:textId="77777777" w:rsidR="00E4563B" w:rsidRDefault="00E45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Courier New">
    <w:panose1 w:val="02070309020205020404"/>
    <w:charset w:val="A1"/>
    <w:family w:val="modern"/>
    <w:pitch w:val="fixed"/>
    <w:sig w:usb0="E0002EFF" w:usb1="C0007843"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683AF" w14:textId="77777777" w:rsidR="00FD60BB" w:rsidRDefault="00FD60BB">
    <w:pPr>
      <w:pBdr>
        <w:top w:val="nil"/>
        <w:left w:val="nil"/>
        <w:bottom w:val="nil"/>
        <w:right w:val="nil"/>
        <w:between w:val="nil"/>
      </w:pBdr>
      <w:tabs>
        <w:tab w:val="center" w:pos="4536"/>
        <w:tab w:val="right" w:pos="9072"/>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CD13B" w14:textId="77777777" w:rsidR="00FD60BB" w:rsidRDefault="00FD60BB">
    <w:pPr>
      <w:pBdr>
        <w:top w:val="nil"/>
        <w:left w:val="nil"/>
        <w:bottom w:val="nil"/>
        <w:right w:val="nil"/>
        <w:between w:val="nil"/>
      </w:pBdr>
      <w:tabs>
        <w:tab w:val="center" w:pos="4536"/>
        <w:tab w:val="right" w:pos="9072"/>
      </w:tabs>
      <w:spacing w:after="0" w:line="240" w:lineRule="auto"/>
      <w:rPr>
        <w:color w:val="000000"/>
      </w:rPr>
    </w:pPr>
    <w:bookmarkStart w:id="1" w:name="_heading=h.gjdgxs" w:colFirst="0" w:colLast="0"/>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40B73" w14:textId="77777777" w:rsidR="00FD60BB" w:rsidRDefault="00FD60BB">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B579AA" w14:textId="77777777" w:rsidR="00E4563B" w:rsidRDefault="00E4563B">
      <w:pPr>
        <w:spacing w:after="0" w:line="240" w:lineRule="auto"/>
      </w:pPr>
      <w:r>
        <w:separator/>
      </w:r>
    </w:p>
  </w:footnote>
  <w:footnote w:type="continuationSeparator" w:id="0">
    <w:p w14:paraId="20E54ABF" w14:textId="77777777" w:rsidR="00E4563B" w:rsidRDefault="00E456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72542" w14:textId="77777777" w:rsidR="00FD60BB" w:rsidRDefault="00FD60BB">
    <w:pPr>
      <w:pBdr>
        <w:top w:val="nil"/>
        <w:left w:val="nil"/>
        <w:bottom w:val="nil"/>
        <w:right w:val="nil"/>
        <w:between w:val="nil"/>
      </w:pBdr>
      <w:tabs>
        <w:tab w:val="center" w:pos="4536"/>
        <w:tab w:val="right" w:pos="9072"/>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9847A" w14:textId="77777777" w:rsidR="00FD60BB" w:rsidRDefault="00FD60BB">
    <w:pPr>
      <w:pBdr>
        <w:top w:val="nil"/>
        <w:left w:val="nil"/>
        <w:bottom w:val="nil"/>
        <w:right w:val="nil"/>
        <w:between w:val="nil"/>
      </w:pBdr>
      <w:tabs>
        <w:tab w:val="center" w:pos="4536"/>
        <w:tab w:val="right" w:pos="9072"/>
      </w:tabs>
      <w:spacing w:after="0" w:line="240" w:lineRule="auto"/>
      <w:ind w:hanging="567"/>
      <w:rPr>
        <w:color w:val="000000"/>
      </w:rPr>
    </w:pPr>
  </w:p>
  <w:p w14:paraId="52AC1D47" w14:textId="77777777" w:rsidR="00FD60BB" w:rsidRDefault="00FD60BB">
    <w:pPr>
      <w:pBdr>
        <w:top w:val="nil"/>
        <w:left w:val="nil"/>
        <w:bottom w:val="nil"/>
        <w:right w:val="nil"/>
        <w:between w:val="nil"/>
      </w:pBdr>
      <w:tabs>
        <w:tab w:val="center" w:pos="4536"/>
        <w:tab w:val="right" w:pos="9072"/>
      </w:tabs>
      <w:spacing w:after="0" w:line="240" w:lineRule="auto"/>
      <w:ind w:hanging="567"/>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2D0EC" w14:textId="77777777" w:rsidR="00FD60BB" w:rsidRDefault="00FD60BB">
    <w:pPr>
      <w:pBdr>
        <w:top w:val="nil"/>
        <w:left w:val="nil"/>
        <w:bottom w:val="nil"/>
        <w:right w:val="nil"/>
        <w:between w:val="nil"/>
      </w:pBdr>
      <w:tabs>
        <w:tab w:val="center" w:pos="4536"/>
        <w:tab w:val="right" w:pos="9072"/>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0BB"/>
    <w:rsid w:val="00000485"/>
    <w:rsid w:val="0001423C"/>
    <w:rsid w:val="000329FF"/>
    <w:rsid w:val="000716DE"/>
    <w:rsid w:val="00090B61"/>
    <w:rsid w:val="001B3B21"/>
    <w:rsid w:val="001B4ED0"/>
    <w:rsid w:val="001B6505"/>
    <w:rsid w:val="001D448E"/>
    <w:rsid w:val="002342EF"/>
    <w:rsid w:val="0026489F"/>
    <w:rsid w:val="002C351E"/>
    <w:rsid w:val="002D1ADD"/>
    <w:rsid w:val="002F6A31"/>
    <w:rsid w:val="00372245"/>
    <w:rsid w:val="003B0FE1"/>
    <w:rsid w:val="004E1859"/>
    <w:rsid w:val="00677639"/>
    <w:rsid w:val="006944A0"/>
    <w:rsid w:val="006C2836"/>
    <w:rsid w:val="00747ED5"/>
    <w:rsid w:val="00784436"/>
    <w:rsid w:val="00796AD9"/>
    <w:rsid w:val="008C2466"/>
    <w:rsid w:val="009A4F71"/>
    <w:rsid w:val="00A23A87"/>
    <w:rsid w:val="00AF00D9"/>
    <w:rsid w:val="00BA1157"/>
    <w:rsid w:val="00BC2CFA"/>
    <w:rsid w:val="00CB3DA8"/>
    <w:rsid w:val="00E4563B"/>
    <w:rsid w:val="00F13DD3"/>
    <w:rsid w:val="00FD60B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0F6B5"/>
  <w15:docId w15:val="{C47EFD21-4CFF-4BB8-8E93-53BFD9029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pl-PL" w:eastAsia="de-A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72F6"/>
    <w:rPr>
      <w:rFonts w:eastAsiaTheme="minorEastAsia"/>
      <w:lang w:eastAsia="pl-PL"/>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10">
    <w:name w:val="Table Normal1"/>
    <w:tblPr>
      <w:tblCellMar>
        <w:top w:w="0" w:type="dxa"/>
        <w:left w:w="0" w:type="dxa"/>
        <w:bottom w:w="0" w:type="dxa"/>
        <w:right w:w="0" w:type="dxa"/>
      </w:tblCellMar>
    </w:tblPr>
  </w:style>
  <w:style w:type="paragraph" w:styleId="Header">
    <w:name w:val="header"/>
    <w:basedOn w:val="Normal"/>
    <w:link w:val="HeaderChar"/>
    <w:uiPriority w:val="99"/>
    <w:unhideWhenUsed/>
    <w:rsid w:val="00E65FAD"/>
    <w:pPr>
      <w:tabs>
        <w:tab w:val="center" w:pos="4536"/>
        <w:tab w:val="right" w:pos="9072"/>
      </w:tabs>
      <w:spacing w:after="0" w:line="240" w:lineRule="auto"/>
    </w:pPr>
    <w:rPr>
      <w:rFonts w:eastAsiaTheme="minorHAnsi"/>
      <w:lang w:eastAsia="en-US"/>
    </w:rPr>
  </w:style>
  <w:style w:type="character" w:customStyle="1" w:styleId="HeaderChar">
    <w:name w:val="Header Char"/>
    <w:basedOn w:val="DefaultParagraphFont"/>
    <w:link w:val="Header"/>
    <w:uiPriority w:val="99"/>
    <w:rsid w:val="00E65FAD"/>
  </w:style>
  <w:style w:type="paragraph" w:styleId="Footer">
    <w:name w:val="footer"/>
    <w:basedOn w:val="Normal"/>
    <w:link w:val="FooterChar"/>
    <w:uiPriority w:val="99"/>
    <w:unhideWhenUsed/>
    <w:rsid w:val="00E65FAD"/>
    <w:pPr>
      <w:tabs>
        <w:tab w:val="center" w:pos="4536"/>
        <w:tab w:val="right" w:pos="9072"/>
      </w:tabs>
      <w:spacing w:after="0" w:line="240" w:lineRule="auto"/>
    </w:pPr>
    <w:rPr>
      <w:rFonts w:eastAsiaTheme="minorHAnsi"/>
      <w:lang w:eastAsia="en-US"/>
    </w:rPr>
  </w:style>
  <w:style w:type="character" w:customStyle="1" w:styleId="FooterChar">
    <w:name w:val="Footer Char"/>
    <w:basedOn w:val="DefaultParagraphFont"/>
    <w:link w:val="Footer"/>
    <w:uiPriority w:val="99"/>
    <w:rsid w:val="00E65FAD"/>
  </w:style>
  <w:style w:type="table" w:styleId="TableGrid">
    <w:name w:val="Table Grid"/>
    <w:basedOn w:val="TableNormal"/>
    <w:uiPriority w:val="39"/>
    <w:rsid w:val="003172F6"/>
    <w:pPr>
      <w:spacing w:after="0" w:line="240" w:lineRule="auto"/>
    </w:pPr>
    <w:rPr>
      <w:rFonts w:eastAsiaTheme="minorEastAsia"/>
      <w:lang w:eastAsia="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880362"/>
    <w:pPr>
      <w:ind w:left="720"/>
      <w:contextualSpacing/>
    </w:pPr>
  </w:style>
  <w:style w:type="paragraph" w:styleId="FootnoteText">
    <w:name w:val="footnote text"/>
    <w:basedOn w:val="Normal"/>
    <w:link w:val="FootnoteTextChar"/>
    <w:uiPriority w:val="99"/>
    <w:semiHidden/>
    <w:unhideWhenUsed/>
    <w:rsid w:val="00831BCD"/>
    <w:pPr>
      <w:spacing w:after="0" w:line="240" w:lineRule="auto"/>
    </w:pPr>
    <w:rPr>
      <w:rFonts w:eastAsiaTheme="minorHAnsi"/>
      <w:sz w:val="20"/>
      <w:szCs w:val="20"/>
      <w:lang w:eastAsia="en-US"/>
    </w:rPr>
  </w:style>
  <w:style w:type="character" w:customStyle="1" w:styleId="FootnoteTextChar">
    <w:name w:val="Footnote Text Char"/>
    <w:basedOn w:val="DefaultParagraphFont"/>
    <w:link w:val="FootnoteText"/>
    <w:uiPriority w:val="99"/>
    <w:semiHidden/>
    <w:rsid w:val="00831BCD"/>
    <w:rPr>
      <w:sz w:val="20"/>
      <w:szCs w:val="20"/>
    </w:rPr>
  </w:style>
  <w:style w:type="character" w:styleId="FootnoteReference">
    <w:name w:val="footnote reference"/>
    <w:basedOn w:val="DefaultParagraphFont"/>
    <w:uiPriority w:val="99"/>
    <w:semiHidden/>
    <w:unhideWhenUsed/>
    <w:rsid w:val="00831BCD"/>
    <w:rPr>
      <w:vertAlign w:val="superscript"/>
    </w:rPr>
  </w:style>
  <w:style w:type="character" w:customStyle="1" w:styleId="il">
    <w:name w:val="il"/>
    <w:basedOn w:val="DefaultParagraphFont"/>
    <w:rsid w:val="00831BCD"/>
  </w:style>
  <w:style w:type="paragraph" w:styleId="NormalWeb">
    <w:name w:val="Normal (Web)"/>
    <w:basedOn w:val="Normal"/>
    <w:uiPriority w:val="99"/>
    <w:unhideWhenUsed/>
    <w:rsid w:val="002D2EB1"/>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9">
    <w:name w:val="9"/>
    <w:basedOn w:val="TableNormal10"/>
    <w:pPr>
      <w:spacing w:after="0" w:line="240" w:lineRule="auto"/>
    </w:pPr>
    <w:tblPr>
      <w:tblStyleRowBandSize w:val="1"/>
      <w:tblStyleColBandSize w:val="1"/>
      <w:tblCellMar>
        <w:left w:w="108" w:type="dxa"/>
        <w:right w:w="108" w:type="dxa"/>
      </w:tblCellMar>
    </w:tblPr>
  </w:style>
  <w:style w:type="table" w:customStyle="1" w:styleId="8">
    <w:name w:val="8"/>
    <w:basedOn w:val="TableNormal10"/>
    <w:pPr>
      <w:spacing w:after="0" w:line="240" w:lineRule="auto"/>
    </w:pPr>
    <w:tblPr>
      <w:tblStyleRowBandSize w:val="1"/>
      <w:tblStyleColBandSize w:val="1"/>
      <w:tblCellMar>
        <w:left w:w="108" w:type="dxa"/>
        <w:right w:w="108" w:type="dxa"/>
      </w:tblCellMar>
    </w:tblPr>
  </w:style>
  <w:style w:type="table" w:customStyle="1" w:styleId="7">
    <w:name w:val="7"/>
    <w:basedOn w:val="TableNormal10"/>
    <w:pPr>
      <w:spacing w:after="0" w:line="240" w:lineRule="auto"/>
    </w:pPr>
    <w:tblPr>
      <w:tblStyleRowBandSize w:val="1"/>
      <w:tblStyleColBandSize w:val="1"/>
      <w:tblCellMar>
        <w:left w:w="108" w:type="dxa"/>
        <w:right w:w="108" w:type="dxa"/>
      </w:tblCellMar>
    </w:tblPr>
  </w:style>
  <w:style w:type="table" w:customStyle="1" w:styleId="6">
    <w:name w:val="6"/>
    <w:basedOn w:val="TableNormal10"/>
    <w:pPr>
      <w:spacing w:after="0" w:line="240" w:lineRule="auto"/>
    </w:pPr>
    <w:tblPr>
      <w:tblStyleRowBandSize w:val="1"/>
      <w:tblStyleColBandSize w:val="1"/>
      <w:tblCellMar>
        <w:left w:w="108" w:type="dxa"/>
        <w:right w:w="108" w:type="dxa"/>
      </w:tblCellMar>
    </w:tblPr>
  </w:style>
  <w:style w:type="table" w:customStyle="1" w:styleId="5">
    <w:name w:val="5"/>
    <w:basedOn w:val="TableNormal10"/>
    <w:pPr>
      <w:spacing w:after="0" w:line="240" w:lineRule="auto"/>
    </w:pPr>
    <w:tblPr>
      <w:tblStyleRowBandSize w:val="1"/>
      <w:tblStyleColBandSize w:val="1"/>
      <w:tblCellMar>
        <w:left w:w="108" w:type="dxa"/>
        <w:right w:w="108" w:type="dxa"/>
      </w:tblCellMar>
    </w:tblPr>
  </w:style>
  <w:style w:type="table" w:customStyle="1" w:styleId="4">
    <w:name w:val="4"/>
    <w:basedOn w:val="TableNormal10"/>
    <w:pPr>
      <w:spacing w:after="0" w:line="240" w:lineRule="auto"/>
    </w:pPr>
    <w:tblPr>
      <w:tblStyleRowBandSize w:val="1"/>
      <w:tblStyleColBandSize w:val="1"/>
      <w:tblCellMar>
        <w:left w:w="108"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eastAsiaTheme="minorEastAsia"/>
      <w:sz w:val="20"/>
      <w:szCs w:val="20"/>
      <w:lang w:eastAsia="pl-PL"/>
    </w:rPr>
  </w:style>
  <w:style w:type="character" w:styleId="CommentReference">
    <w:name w:val="annotation reference"/>
    <w:basedOn w:val="DefaultParagraphFont"/>
    <w:uiPriority w:val="99"/>
    <w:semiHidden/>
    <w:unhideWhenUsed/>
    <w:rPr>
      <w:sz w:val="16"/>
      <w:szCs w:val="16"/>
    </w:rPr>
  </w:style>
  <w:style w:type="table" w:customStyle="1" w:styleId="3">
    <w:name w:val="3"/>
    <w:basedOn w:val="TableNormal2"/>
    <w:pPr>
      <w:spacing w:after="0" w:line="240" w:lineRule="auto"/>
    </w:pPr>
    <w:tblPr>
      <w:tblStyleRowBandSize w:val="1"/>
      <w:tblStyleColBandSize w:val="1"/>
      <w:tblCellMar>
        <w:left w:w="108" w:type="dxa"/>
        <w:right w:w="108" w:type="dxa"/>
      </w:tblCellMar>
    </w:tblPr>
  </w:style>
  <w:style w:type="table" w:customStyle="1" w:styleId="2">
    <w:name w:val="2"/>
    <w:basedOn w:val="TableNormal2"/>
    <w:pPr>
      <w:spacing w:after="0" w:line="240" w:lineRule="auto"/>
    </w:pPr>
    <w:tblPr>
      <w:tblStyleRowBandSize w:val="1"/>
      <w:tblStyleColBandSize w:val="1"/>
      <w:tblCellMar>
        <w:left w:w="108" w:type="dxa"/>
        <w:right w:w="108" w:type="dxa"/>
      </w:tblCellMar>
    </w:tblPr>
  </w:style>
  <w:style w:type="table" w:customStyle="1" w:styleId="1">
    <w:name w:val="1"/>
    <w:basedOn w:val="TableNormal2"/>
    <w:pPr>
      <w:spacing w:after="0" w:line="240" w:lineRule="auto"/>
    </w:pPr>
    <w:tblPr>
      <w:tblStyleRowBandSize w:val="1"/>
      <w:tblStyleColBandSize w:val="1"/>
      <w:tblCellMar>
        <w:left w:w="108" w:type="dxa"/>
        <w:right w:w="108" w:type="dxa"/>
      </w:tblCellMar>
    </w:tblPr>
  </w:style>
  <w:style w:type="character" w:styleId="Hyperlink">
    <w:name w:val="Hyperlink"/>
    <w:basedOn w:val="DefaultParagraphFont"/>
    <w:uiPriority w:val="99"/>
    <w:semiHidden/>
    <w:unhideWhenUsed/>
    <w:rsid w:val="008C2466"/>
    <w:rPr>
      <w:color w:val="0000FF"/>
      <w:u w:val="single"/>
    </w:rPr>
  </w:style>
  <w:style w:type="paragraph" w:styleId="HTMLPreformatted">
    <w:name w:val="HTML Preformatted"/>
    <w:basedOn w:val="Normal"/>
    <w:link w:val="HTMLPreformattedChar"/>
    <w:uiPriority w:val="99"/>
    <w:semiHidden/>
    <w:unhideWhenUsed/>
    <w:rsid w:val="000329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de-AT" w:eastAsia="de-AT"/>
    </w:rPr>
  </w:style>
  <w:style w:type="character" w:customStyle="1" w:styleId="HTMLPreformattedChar">
    <w:name w:val="HTML Preformatted Char"/>
    <w:basedOn w:val="DefaultParagraphFont"/>
    <w:link w:val="HTMLPreformatted"/>
    <w:uiPriority w:val="99"/>
    <w:semiHidden/>
    <w:rsid w:val="000329FF"/>
    <w:rPr>
      <w:rFonts w:ascii="Courier New" w:eastAsia="Times New Roman" w:hAnsi="Courier New" w:cs="Courier New"/>
      <w:sz w:val="20"/>
      <w:szCs w:val="20"/>
      <w:lang w:val="de-AT"/>
    </w:rPr>
  </w:style>
  <w:style w:type="character" w:customStyle="1" w:styleId="y2iqfc">
    <w:name w:val="y2iqfc"/>
    <w:basedOn w:val="DefaultParagraphFont"/>
    <w:rsid w:val="000329FF"/>
  </w:style>
  <w:style w:type="paragraph" w:customStyle="1" w:styleId="Default">
    <w:name w:val="Default"/>
    <w:rsid w:val="004E1859"/>
    <w:pPr>
      <w:autoSpaceDE w:val="0"/>
      <w:autoSpaceDN w:val="0"/>
      <w:adjustRightInd w:val="0"/>
      <w:spacing w:after="0" w:line="240" w:lineRule="auto"/>
    </w:pPr>
    <w:rPr>
      <w:color w:val="000000"/>
      <w:sz w:val="24"/>
      <w:szCs w:val="24"/>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7928">
      <w:bodyDiv w:val="1"/>
      <w:marLeft w:val="0"/>
      <w:marRight w:val="0"/>
      <w:marTop w:val="0"/>
      <w:marBottom w:val="0"/>
      <w:divBdr>
        <w:top w:val="none" w:sz="0" w:space="0" w:color="auto"/>
        <w:left w:val="none" w:sz="0" w:space="0" w:color="auto"/>
        <w:bottom w:val="none" w:sz="0" w:space="0" w:color="auto"/>
        <w:right w:val="none" w:sz="0" w:space="0" w:color="auto"/>
      </w:divBdr>
    </w:div>
    <w:div w:id="487404718">
      <w:bodyDiv w:val="1"/>
      <w:marLeft w:val="0"/>
      <w:marRight w:val="0"/>
      <w:marTop w:val="0"/>
      <w:marBottom w:val="0"/>
      <w:divBdr>
        <w:top w:val="none" w:sz="0" w:space="0" w:color="auto"/>
        <w:left w:val="none" w:sz="0" w:space="0" w:color="auto"/>
        <w:bottom w:val="none" w:sz="0" w:space="0" w:color="auto"/>
        <w:right w:val="none" w:sz="0" w:space="0" w:color="auto"/>
      </w:divBdr>
    </w:div>
    <w:div w:id="802238272">
      <w:bodyDiv w:val="1"/>
      <w:marLeft w:val="0"/>
      <w:marRight w:val="0"/>
      <w:marTop w:val="0"/>
      <w:marBottom w:val="0"/>
      <w:divBdr>
        <w:top w:val="none" w:sz="0" w:space="0" w:color="auto"/>
        <w:left w:val="none" w:sz="0" w:space="0" w:color="auto"/>
        <w:bottom w:val="none" w:sz="0" w:space="0" w:color="auto"/>
        <w:right w:val="none" w:sz="0" w:space="0" w:color="auto"/>
      </w:divBdr>
    </w:div>
    <w:div w:id="1060637841">
      <w:bodyDiv w:val="1"/>
      <w:marLeft w:val="0"/>
      <w:marRight w:val="0"/>
      <w:marTop w:val="0"/>
      <w:marBottom w:val="0"/>
      <w:divBdr>
        <w:top w:val="none" w:sz="0" w:space="0" w:color="auto"/>
        <w:left w:val="none" w:sz="0" w:space="0" w:color="auto"/>
        <w:bottom w:val="none" w:sz="0" w:space="0" w:color="auto"/>
        <w:right w:val="none" w:sz="0" w:space="0" w:color="auto"/>
      </w:divBdr>
    </w:div>
    <w:div w:id="1136682212">
      <w:bodyDiv w:val="1"/>
      <w:marLeft w:val="0"/>
      <w:marRight w:val="0"/>
      <w:marTop w:val="0"/>
      <w:marBottom w:val="0"/>
      <w:divBdr>
        <w:top w:val="none" w:sz="0" w:space="0" w:color="auto"/>
        <w:left w:val="none" w:sz="0" w:space="0" w:color="auto"/>
        <w:bottom w:val="none" w:sz="0" w:space="0" w:color="auto"/>
        <w:right w:val="none" w:sz="0" w:space="0" w:color="auto"/>
      </w:divBdr>
    </w:div>
    <w:div w:id="1249773809">
      <w:bodyDiv w:val="1"/>
      <w:marLeft w:val="0"/>
      <w:marRight w:val="0"/>
      <w:marTop w:val="0"/>
      <w:marBottom w:val="0"/>
      <w:divBdr>
        <w:top w:val="none" w:sz="0" w:space="0" w:color="auto"/>
        <w:left w:val="none" w:sz="0" w:space="0" w:color="auto"/>
        <w:bottom w:val="none" w:sz="0" w:space="0" w:color="auto"/>
        <w:right w:val="none" w:sz="0" w:space="0" w:color="auto"/>
      </w:divBdr>
    </w:div>
    <w:div w:id="1797872173">
      <w:bodyDiv w:val="1"/>
      <w:marLeft w:val="0"/>
      <w:marRight w:val="0"/>
      <w:marTop w:val="0"/>
      <w:marBottom w:val="0"/>
      <w:divBdr>
        <w:top w:val="none" w:sz="0" w:space="0" w:color="auto"/>
        <w:left w:val="none" w:sz="0" w:space="0" w:color="auto"/>
        <w:bottom w:val="none" w:sz="0" w:space="0" w:color="auto"/>
        <w:right w:val="none" w:sz="0" w:space="0" w:color="auto"/>
      </w:divBdr>
      <w:divsChild>
        <w:div w:id="685135764">
          <w:marLeft w:val="0"/>
          <w:marRight w:val="0"/>
          <w:marTop w:val="0"/>
          <w:marBottom w:val="0"/>
          <w:divBdr>
            <w:top w:val="none" w:sz="0" w:space="0" w:color="auto"/>
            <w:left w:val="none" w:sz="0" w:space="0" w:color="auto"/>
            <w:bottom w:val="none" w:sz="0" w:space="0" w:color="auto"/>
            <w:right w:val="none" w:sz="0" w:space="0" w:color="auto"/>
          </w:divBdr>
        </w:div>
      </w:divsChild>
    </w:div>
    <w:div w:id="1803577061">
      <w:bodyDiv w:val="1"/>
      <w:marLeft w:val="0"/>
      <w:marRight w:val="0"/>
      <w:marTop w:val="0"/>
      <w:marBottom w:val="0"/>
      <w:divBdr>
        <w:top w:val="none" w:sz="0" w:space="0" w:color="auto"/>
        <w:left w:val="none" w:sz="0" w:space="0" w:color="auto"/>
        <w:bottom w:val="none" w:sz="0" w:space="0" w:color="auto"/>
        <w:right w:val="none" w:sz="0" w:space="0" w:color="auto"/>
      </w:divBdr>
    </w:div>
    <w:div w:id="21233811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en/global-issues/gender-equality"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unwomen.org/en/what-we-do/ending-violence-against-women/global-norms-and-standards" TargetMode="External"/><Relationship Id="rId12" Type="http://schemas.openxmlformats.org/officeDocument/2006/relationships/hyperlink" Target="https://www.echr.coe.int/documents/d/echr/FS_Gender_Equality_ENG"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rm.coe.int/prems-093618-gbr-gender-equality-strategy-2023-web-a5/16808b47e1"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unwomen.org/sites/default/files/Headquarters/Attachments/Sections/Library/Publications/2020/RESPECT-implementation-guide-Global-and-regional-frameworks-en.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youtube.com/watch?v=8YrL9ZS9dlg"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J2238fMQ1Fi4i5a/ZJqAmFMqaA==">AMUW2mVBAfHCCukG0cPXx9srX7WW7oTLR1LgwmFfpV0xvSS6bDVdBpj+sqBLCHkcLsWQ6wRZw7vkcwI4mCu3qFFhhRVWH+AG6pV3dnOqqNJf5V0sSUia3BIypaDqnCpE8VIgVfH1XFaX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1037</Words>
  <Characters>5913</Characters>
  <Application>Microsoft Office Word</Application>
  <DocSecurity>0</DocSecurity>
  <Lines>49</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PLUS</Company>
  <LinksUpToDate>false</LinksUpToDate>
  <CharactersWithSpaces>6937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Margiel</dc:creator>
  <cp:keywords/>
  <dc:description/>
  <cp:lastModifiedBy>Marina Appiou Nikiforou</cp:lastModifiedBy>
  <cp:revision>2</cp:revision>
  <dcterms:created xsi:type="dcterms:W3CDTF">2024-03-18T12:36:00Z</dcterms:created>
  <dcterms:modified xsi:type="dcterms:W3CDTF">2024-03-18T12:36:00Z</dcterms:modified>
</cp:coreProperties>
</file>